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3EB" w:rsidRPr="009E16EA" w:rsidRDefault="00EE4D88" w:rsidP="00E529ED">
      <w:pPr>
        <w:pStyle w:val="Subtitle1"/>
      </w:pPr>
      <w:r>
        <w:t>Work Plan</w:t>
      </w:r>
      <w:r w:rsidR="009E16EA">
        <w:t xml:space="preserve"> Proposal</w:t>
      </w:r>
    </w:p>
    <w:p w:rsidR="00306D3D" w:rsidRDefault="00017793" w:rsidP="003B0C1B">
      <w:pPr>
        <w:jc w:val="center"/>
        <w:rPr>
          <w:rFonts w:ascii="Arial" w:hAnsi="Arial" w:cs="Arial"/>
          <w:b/>
          <w:sz w:val="36"/>
          <w:szCs w:val="36"/>
        </w:rPr>
      </w:pPr>
      <w:r>
        <w:rPr>
          <w:rFonts w:ascii="Arial" w:hAnsi="Arial" w:cs="Arial"/>
          <w:b/>
          <w:sz w:val="36"/>
          <w:szCs w:val="36"/>
        </w:rPr>
        <w:t>Water Use</w:t>
      </w:r>
    </w:p>
    <w:p w:rsidR="00AF66BE" w:rsidRDefault="00E529ED" w:rsidP="00370E2E">
      <w:pPr>
        <w:pStyle w:val="Subtitle1"/>
      </w:pPr>
      <w:r>
        <w:t xml:space="preserve">By the </w:t>
      </w:r>
      <w:r w:rsidR="00370E2E">
        <w:t>Authors</w:t>
      </w:r>
    </w:p>
    <w:p w:rsidR="00E529ED" w:rsidRDefault="0039289D" w:rsidP="00E529ED">
      <w:pPr>
        <w:pStyle w:val="Subtitle1"/>
      </w:pPr>
      <w:r>
        <w:t>September 16</w:t>
      </w:r>
      <w:r w:rsidR="00370E2E">
        <w:t>, 2011</w:t>
      </w:r>
    </w:p>
    <w:p w:rsidR="00472B88" w:rsidRPr="00472B88" w:rsidRDefault="00472B88" w:rsidP="00472B88">
      <w:pPr>
        <w:rPr>
          <w:rFonts w:ascii="Arial" w:hAnsi="Arial" w:cs="Arial"/>
          <w:b/>
          <w:sz w:val="28"/>
          <w:szCs w:val="28"/>
        </w:rPr>
      </w:pPr>
      <w:r w:rsidRPr="00472B88">
        <w:rPr>
          <w:rFonts w:ascii="Arial" w:hAnsi="Arial" w:cs="Arial"/>
          <w:b/>
          <w:sz w:val="28"/>
          <w:szCs w:val="28"/>
        </w:rPr>
        <w:t>Introduction</w:t>
      </w:r>
    </w:p>
    <w:p w:rsidR="00B11A2D" w:rsidRDefault="00B11A2D" w:rsidP="00B11A2D">
      <w:pPr>
        <w:ind w:firstLine="720"/>
      </w:pPr>
    </w:p>
    <w:p w:rsidR="00C02586" w:rsidRPr="008D10F5" w:rsidRDefault="00ED2695" w:rsidP="00F028B4">
      <w:pPr>
        <w:pStyle w:val="Default"/>
        <w:rPr>
          <w:rFonts w:ascii="Palatino Linotype" w:hAnsi="Palatino Linotype"/>
          <w:color w:val="211D1E"/>
        </w:rPr>
      </w:pPr>
      <w:r w:rsidRPr="008D10F5">
        <w:rPr>
          <w:rFonts w:ascii="Palatino Linotype" w:hAnsi="Palatino Linotype"/>
        </w:rPr>
        <w:t xml:space="preserve">The DOI </w:t>
      </w:r>
      <w:proofErr w:type="spellStart"/>
      <w:r w:rsidRPr="008D10F5">
        <w:rPr>
          <w:rFonts w:ascii="Palatino Linotype" w:hAnsi="Palatino Linotype"/>
        </w:rPr>
        <w:t>WaterSMART</w:t>
      </w:r>
      <w:proofErr w:type="spellEnd"/>
      <w:r w:rsidRPr="008D10F5">
        <w:rPr>
          <w:rFonts w:ascii="Palatino Linotype" w:hAnsi="Palatino Linotype"/>
        </w:rPr>
        <w:t xml:space="preserve"> initiative – </w:t>
      </w:r>
      <w:r w:rsidRPr="008D10F5">
        <w:rPr>
          <w:rFonts w:ascii="Palatino Linotype" w:hAnsi="Palatino Linotype"/>
          <w:u w:val="single"/>
        </w:rPr>
        <w:t>S</w:t>
      </w:r>
      <w:r w:rsidRPr="008D10F5">
        <w:rPr>
          <w:rFonts w:ascii="Palatino Linotype" w:hAnsi="Palatino Linotype"/>
        </w:rPr>
        <w:t xml:space="preserve">ustain and </w:t>
      </w:r>
      <w:r w:rsidRPr="008D10F5">
        <w:rPr>
          <w:rFonts w:ascii="Palatino Linotype" w:hAnsi="Palatino Linotype"/>
          <w:u w:val="single"/>
        </w:rPr>
        <w:t>M</w:t>
      </w:r>
      <w:r w:rsidRPr="008D10F5">
        <w:rPr>
          <w:rFonts w:ascii="Palatino Linotype" w:hAnsi="Palatino Linotype"/>
        </w:rPr>
        <w:t xml:space="preserve">anage </w:t>
      </w:r>
      <w:r w:rsidRPr="008D10F5">
        <w:rPr>
          <w:rFonts w:ascii="Palatino Linotype" w:hAnsi="Palatino Linotype"/>
          <w:u w:val="single"/>
        </w:rPr>
        <w:t>A</w:t>
      </w:r>
      <w:r w:rsidRPr="008D10F5">
        <w:rPr>
          <w:rFonts w:ascii="Palatino Linotype" w:hAnsi="Palatino Linotype"/>
        </w:rPr>
        <w:t xml:space="preserve">merica’s </w:t>
      </w:r>
      <w:r w:rsidRPr="008D10F5">
        <w:rPr>
          <w:rFonts w:ascii="Palatino Linotype" w:hAnsi="Palatino Linotype"/>
          <w:u w:val="single"/>
        </w:rPr>
        <w:t>R</w:t>
      </w:r>
      <w:r w:rsidRPr="008D10F5">
        <w:rPr>
          <w:rFonts w:ascii="Palatino Linotype" w:hAnsi="Palatino Linotype"/>
        </w:rPr>
        <w:t xml:space="preserve">esources for </w:t>
      </w:r>
      <w:r w:rsidRPr="008D10F5">
        <w:rPr>
          <w:rFonts w:ascii="Palatino Linotype" w:hAnsi="Palatino Linotype"/>
          <w:u w:val="single"/>
        </w:rPr>
        <w:t>T</w:t>
      </w:r>
      <w:r w:rsidRPr="008D10F5">
        <w:rPr>
          <w:rFonts w:ascii="Palatino Linotype" w:hAnsi="Palatino Linotype"/>
        </w:rPr>
        <w:t xml:space="preserve">omorrow – </w:t>
      </w:r>
      <w:r w:rsidRPr="008D10F5">
        <w:rPr>
          <w:rFonts w:ascii="Palatino Linotype" w:hAnsi="Palatino Linotype"/>
          <w:color w:val="211D1E"/>
        </w:rPr>
        <w:t>is working to achieve a sustainable water strategy to meet the Nation’s water needs</w:t>
      </w:r>
      <w:r w:rsidRPr="008D10F5">
        <w:rPr>
          <w:rFonts w:ascii="Palatino Linotype" w:hAnsi="Palatino Linotype"/>
        </w:rPr>
        <w:t xml:space="preserve"> and to ensure that this generation and generations to come will have adequate supplies of clean water to meet human and ecological </w:t>
      </w:r>
      <w:r w:rsidRPr="008D10F5">
        <w:rPr>
          <w:rFonts w:ascii="Palatino Linotype" w:hAnsi="Palatino Linotype"/>
          <w:color w:val="211D1E"/>
        </w:rPr>
        <w:t xml:space="preserve">needs in the face of growing competition among domestic, industrial-commercial, agricultural, and environmental uses. </w:t>
      </w:r>
      <w:r w:rsidR="005B3D76" w:rsidRPr="008D10F5">
        <w:rPr>
          <w:rFonts w:ascii="Palatino Linotype" w:hAnsi="Palatino Linotype"/>
          <w:color w:val="211D1E"/>
        </w:rPr>
        <w:t>As part of</w:t>
      </w:r>
      <w:r w:rsidR="0025285F" w:rsidRPr="008D10F5">
        <w:rPr>
          <w:rFonts w:ascii="Palatino Linotype" w:hAnsi="Palatino Linotype"/>
          <w:color w:val="211D1E"/>
        </w:rPr>
        <w:t xml:space="preserve"> the </w:t>
      </w:r>
      <w:proofErr w:type="spellStart"/>
      <w:r w:rsidRPr="008D10F5">
        <w:rPr>
          <w:rFonts w:ascii="Palatino Linotype" w:hAnsi="Palatino Linotype"/>
          <w:color w:val="211D1E"/>
        </w:rPr>
        <w:t>WaterSMART</w:t>
      </w:r>
      <w:proofErr w:type="spellEnd"/>
      <w:r w:rsidRPr="008D10F5">
        <w:rPr>
          <w:rFonts w:ascii="Palatino Linotype" w:hAnsi="Palatino Linotype"/>
          <w:color w:val="211D1E"/>
        </w:rPr>
        <w:t xml:space="preserve"> </w:t>
      </w:r>
      <w:r w:rsidR="0025285F" w:rsidRPr="008D10F5">
        <w:rPr>
          <w:rFonts w:ascii="Palatino Linotype" w:hAnsi="Palatino Linotype"/>
          <w:color w:val="211D1E"/>
        </w:rPr>
        <w:t>Initiative</w:t>
      </w:r>
      <w:r w:rsidR="00E6377C" w:rsidRPr="008D10F5">
        <w:rPr>
          <w:rFonts w:ascii="Palatino Linotype" w:hAnsi="Palatino Linotype"/>
          <w:color w:val="211D1E"/>
        </w:rPr>
        <w:t>,</w:t>
      </w:r>
      <w:r w:rsidR="0025285F" w:rsidRPr="008D10F5">
        <w:rPr>
          <w:rFonts w:ascii="Palatino Linotype" w:hAnsi="Palatino Linotype"/>
          <w:color w:val="211D1E"/>
        </w:rPr>
        <w:t xml:space="preserve"> </w:t>
      </w:r>
      <w:r w:rsidR="00E6377C" w:rsidRPr="008D10F5">
        <w:rPr>
          <w:rFonts w:ascii="Palatino Linotype" w:hAnsi="Palatino Linotype"/>
          <w:color w:val="211D1E"/>
        </w:rPr>
        <w:t xml:space="preserve">the USGS has proposed a Water Availability and Use Assessment in the Colorado River Basin; </w:t>
      </w:r>
      <w:r w:rsidRPr="008D10F5">
        <w:rPr>
          <w:rFonts w:ascii="Palatino Linotype" w:hAnsi="Palatino Linotype"/>
          <w:color w:val="211D1E"/>
        </w:rPr>
        <w:t xml:space="preserve">a region where future projections of </w:t>
      </w:r>
      <w:r w:rsidR="00472B88" w:rsidRPr="008D10F5">
        <w:rPr>
          <w:rFonts w:ascii="Palatino Linotype" w:hAnsi="Palatino Linotype"/>
          <w:color w:val="211D1E"/>
        </w:rPr>
        <w:t>water demand</w:t>
      </w:r>
      <w:r w:rsidRPr="008D10F5">
        <w:rPr>
          <w:rFonts w:ascii="Palatino Linotype" w:hAnsi="Palatino Linotype"/>
          <w:color w:val="211D1E"/>
        </w:rPr>
        <w:t xml:space="preserve"> along the river </w:t>
      </w:r>
      <w:r w:rsidR="00E6377C" w:rsidRPr="008D10F5">
        <w:rPr>
          <w:rFonts w:ascii="Palatino Linotype" w:hAnsi="Palatino Linotype"/>
          <w:color w:val="211D1E"/>
        </w:rPr>
        <w:t xml:space="preserve">outpace the </w:t>
      </w:r>
      <w:r w:rsidR="00C02586" w:rsidRPr="008D10F5">
        <w:rPr>
          <w:rFonts w:ascii="Palatino Linotype" w:hAnsi="Palatino Linotype"/>
          <w:color w:val="211D1E"/>
        </w:rPr>
        <w:t xml:space="preserve">limited </w:t>
      </w:r>
      <w:r w:rsidR="00E6377C" w:rsidRPr="008D10F5">
        <w:rPr>
          <w:rFonts w:ascii="Palatino Linotype" w:hAnsi="Palatino Linotype"/>
          <w:color w:val="211D1E"/>
        </w:rPr>
        <w:t xml:space="preserve">and </w:t>
      </w:r>
      <w:r w:rsidR="00847362" w:rsidRPr="008D10F5">
        <w:rPr>
          <w:rFonts w:ascii="Palatino Linotype" w:hAnsi="Palatino Linotype"/>
          <w:color w:val="211D1E"/>
        </w:rPr>
        <w:t xml:space="preserve">potentially </w:t>
      </w:r>
      <w:r w:rsidR="00E6377C" w:rsidRPr="008D10F5">
        <w:rPr>
          <w:rFonts w:ascii="Palatino Linotype" w:hAnsi="Palatino Linotype"/>
          <w:color w:val="211D1E"/>
        </w:rPr>
        <w:t>declining surface-</w:t>
      </w:r>
      <w:r w:rsidR="00C02586" w:rsidRPr="008D10F5">
        <w:rPr>
          <w:rFonts w:ascii="Palatino Linotype" w:hAnsi="Palatino Linotype"/>
          <w:color w:val="211D1E"/>
        </w:rPr>
        <w:t>water supply</w:t>
      </w:r>
      <w:r w:rsidR="00472B88" w:rsidRPr="008D10F5">
        <w:rPr>
          <w:rFonts w:ascii="Palatino Linotype" w:hAnsi="Palatino Linotype"/>
          <w:color w:val="211D1E"/>
        </w:rPr>
        <w:t xml:space="preserve"> (</w:t>
      </w:r>
      <w:r w:rsidR="00223DA3" w:rsidRPr="008D10F5">
        <w:rPr>
          <w:rFonts w:ascii="Palatino Linotype" w:hAnsi="Palatino Linotype"/>
        </w:rPr>
        <w:t>Colorado River Basin Water Supply and Demand Study Team, 2011</w:t>
      </w:r>
      <w:r w:rsidR="00A374A0" w:rsidRPr="008D10F5">
        <w:rPr>
          <w:rFonts w:ascii="Palatino Linotype" w:hAnsi="Palatino Linotype"/>
          <w:color w:val="211D1E"/>
        </w:rPr>
        <w:t>)</w:t>
      </w:r>
      <w:r w:rsidR="00E6377C" w:rsidRPr="008D10F5">
        <w:rPr>
          <w:rFonts w:ascii="Palatino Linotype" w:hAnsi="Palatino Linotype"/>
          <w:color w:val="211D1E"/>
        </w:rPr>
        <w:t>.</w:t>
      </w:r>
      <w:r w:rsidRPr="008D10F5">
        <w:rPr>
          <w:rFonts w:ascii="Palatino Linotype" w:hAnsi="Palatino Linotype"/>
          <w:color w:val="211D1E"/>
        </w:rPr>
        <w:t xml:space="preserve"> </w:t>
      </w:r>
      <w:r w:rsidR="00E6377C" w:rsidRPr="008D10F5">
        <w:rPr>
          <w:rFonts w:ascii="Palatino Linotype" w:hAnsi="Palatino Linotype"/>
          <w:color w:val="211D1E"/>
        </w:rPr>
        <w:t>The</w:t>
      </w:r>
      <w:r w:rsidRPr="008D10F5">
        <w:rPr>
          <w:rFonts w:ascii="Palatino Linotype" w:hAnsi="Palatino Linotype"/>
          <w:color w:val="211D1E"/>
        </w:rPr>
        <w:t xml:space="preserve"> USGS has proposed a “Focus Area Study” in the Colorado River Basin </w:t>
      </w:r>
      <w:r w:rsidR="00C02586" w:rsidRPr="008D10F5">
        <w:rPr>
          <w:rFonts w:ascii="Palatino Linotype" w:hAnsi="Palatino Linotype"/>
          <w:color w:val="211D1E"/>
        </w:rPr>
        <w:t xml:space="preserve">to </w:t>
      </w:r>
      <w:r w:rsidRPr="008D10F5">
        <w:rPr>
          <w:rFonts w:ascii="Palatino Linotype" w:hAnsi="Palatino Linotype"/>
          <w:color w:val="211D1E"/>
        </w:rPr>
        <w:t>help better define the need for</w:t>
      </w:r>
      <w:r w:rsidR="00075F7E" w:rsidRPr="008D10F5">
        <w:rPr>
          <w:rFonts w:ascii="Palatino Linotype" w:hAnsi="Palatino Linotype"/>
          <w:color w:val="211D1E"/>
        </w:rPr>
        <w:t>, and use of</w:t>
      </w:r>
      <w:r w:rsidRPr="008D10F5">
        <w:rPr>
          <w:rFonts w:ascii="Palatino Linotype" w:hAnsi="Palatino Linotype"/>
          <w:color w:val="211D1E"/>
        </w:rPr>
        <w:t xml:space="preserve"> freshwater </w:t>
      </w:r>
      <w:r w:rsidR="002544F9" w:rsidRPr="008D10F5">
        <w:rPr>
          <w:rFonts w:ascii="Palatino Linotype" w:hAnsi="Palatino Linotype"/>
          <w:color w:val="211D1E"/>
        </w:rPr>
        <w:t xml:space="preserve">sources </w:t>
      </w:r>
      <w:r w:rsidRPr="008D10F5">
        <w:rPr>
          <w:rFonts w:ascii="Palatino Linotype" w:hAnsi="Palatino Linotype"/>
          <w:color w:val="211D1E"/>
        </w:rPr>
        <w:t>in comparison with resource availability.</w:t>
      </w:r>
      <w:r w:rsidR="00C02586" w:rsidRPr="008D10F5">
        <w:rPr>
          <w:rFonts w:ascii="Palatino Linotype" w:hAnsi="Palatino Linotype"/>
          <w:color w:val="211D1E"/>
        </w:rPr>
        <w:t xml:space="preserve"> </w:t>
      </w:r>
    </w:p>
    <w:p w:rsidR="00C02586" w:rsidRPr="008D10F5" w:rsidRDefault="00C02586" w:rsidP="00F028B4">
      <w:pPr>
        <w:pStyle w:val="Default"/>
        <w:rPr>
          <w:rFonts w:ascii="Palatino Linotype" w:hAnsi="Palatino Linotype"/>
          <w:color w:val="211D1E"/>
        </w:rPr>
      </w:pPr>
    </w:p>
    <w:p w:rsidR="00ED2695" w:rsidRPr="008D10F5" w:rsidRDefault="00C02586" w:rsidP="00F028B4">
      <w:pPr>
        <w:pStyle w:val="Default"/>
        <w:rPr>
          <w:rFonts w:ascii="Palatino Linotype" w:hAnsi="Palatino Linotype"/>
          <w:color w:val="211D1E"/>
        </w:rPr>
      </w:pPr>
      <w:r w:rsidRPr="008D10F5">
        <w:rPr>
          <w:rFonts w:ascii="Palatino Linotype" w:hAnsi="Palatino Linotype"/>
          <w:color w:val="211D1E"/>
        </w:rPr>
        <w:t xml:space="preserve">In keeping with the scientific, non-regulatory mission of the USGS, water “availability” in the Colorado River Basin will be couched in terms of a water “census” </w:t>
      </w:r>
      <w:r w:rsidR="0025285F" w:rsidRPr="008D10F5">
        <w:rPr>
          <w:rFonts w:ascii="Palatino Linotype" w:hAnsi="Palatino Linotype"/>
          <w:color w:val="211D1E"/>
        </w:rPr>
        <w:t xml:space="preserve">evaluated </w:t>
      </w:r>
      <w:r w:rsidRPr="008D10F5">
        <w:rPr>
          <w:rFonts w:ascii="Palatino Linotype" w:hAnsi="Palatino Linotype"/>
          <w:color w:val="211D1E"/>
        </w:rPr>
        <w:t xml:space="preserve">by identifying the components of a regional water budget and investigating the key components of the water budget where understanding is lacking and the USGS can contribute the greatest incremental increase in the scientific understanding of these water-budget components. </w:t>
      </w:r>
      <w:r w:rsidR="0025285F" w:rsidRPr="008D10F5">
        <w:rPr>
          <w:rFonts w:ascii="Palatino Linotype" w:hAnsi="Palatino Linotype"/>
          <w:color w:val="211D1E"/>
        </w:rPr>
        <w:t xml:space="preserve">In consultation with Basin stakeholders the USGS has identified three </w:t>
      </w:r>
      <w:r w:rsidR="00BB3140" w:rsidRPr="008D10F5">
        <w:rPr>
          <w:rFonts w:ascii="Palatino Linotype" w:hAnsi="Palatino Linotype"/>
          <w:color w:val="211D1E"/>
        </w:rPr>
        <w:t xml:space="preserve">water-budget </w:t>
      </w:r>
      <w:r w:rsidR="0025285F" w:rsidRPr="008D10F5">
        <w:rPr>
          <w:rFonts w:ascii="Palatino Linotype" w:hAnsi="Palatino Linotype"/>
          <w:color w:val="211D1E"/>
        </w:rPr>
        <w:t xml:space="preserve">topical areas where science is lacking and the USGS has particular expertise (Water Use, </w:t>
      </w:r>
      <w:proofErr w:type="spellStart"/>
      <w:r w:rsidR="00BB3140" w:rsidRPr="008D10F5">
        <w:rPr>
          <w:rFonts w:ascii="Palatino Linotype" w:hAnsi="Palatino Linotype"/>
          <w:color w:val="211D1E"/>
        </w:rPr>
        <w:t>Hydroclimatic</w:t>
      </w:r>
      <w:proofErr w:type="spellEnd"/>
      <w:r w:rsidR="00BB3140" w:rsidRPr="008D10F5">
        <w:rPr>
          <w:rFonts w:ascii="Palatino Linotype" w:hAnsi="Palatino Linotype"/>
          <w:color w:val="211D1E"/>
        </w:rPr>
        <w:t xml:space="preserve"> Variables</w:t>
      </w:r>
      <w:r w:rsidR="0025285F" w:rsidRPr="008D10F5">
        <w:rPr>
          <w:rFonts w:ascii="Palatino Linotype" w:hAnsi="Palatino Linotype"/>
          <w:color w:val="211D1E"/>
        </w:rPr>
        <w:t xml:space="preserve">, </w:t>
      </w:r>
      <w:r w:rsidR="00F21C3D" w:rsidRPr="008D10F5">
        <w:rPr>
          <w:rFonts w:ascii="Palatino Linotype" w:hAnsi="Palatino Linotype"/>
          <w:color w:val="211D1E"/>
        </w:rPr>
        <w:t>and Groundwater</w:t>
      </w:r>
      <w:r w:rsidR="0025285F" w:rsidRPr="008D10F5">
        <w:rPr>
          <w:rFonts w:ascii="Palatino Linotype" w:hAnsi="Palatino Linotype"/>
          <w:color w:val="211D1E"/>
        </w:rPr>
        <w:t xml:space="preserve"> Resources)</w:t>
      </w:r>
      <w:r w:rsidR="00BB3140" w:rsidRPr="008D10F5">
        <w:rPr>
          <w:rFonts w:ascii="Palatino Linotype" w:hAnsi="Palatino Linotype"/>
          <w:color w:val="211D1E"/>
        </w:rPr>
        <w:t>. The following section discusses the proposed work plan for assessing water use in the Colorado River Basin Focus Area Study (CRBFAS)</w:t>
      </w:r>
    </w:p>
    <w:p w:rsidR="00BB3140" w:rsidRPr="008D10F5" w:rsidRDefault="00BB3140" w:rsidP="00F028B4">
      <w:pPr>
        <w:pStyle w:val="Default"/>
        <w:rPr>
          <w:rFonts w:ascii="Palatino Linotype" w:hAnsi="Palatino Linotype"/>
          <w:color w:val="211D1E"/>
        </w:rPr>
      </w:pPr>
    </w:p>
    <w:p w:rsidR="00BB3140" w:rsidRPr="008D10F5" w:rsidRDefault="00BB3140" w:rsidP="00472B88">
      <w:pPr>
        <w:pStyle w:val="Heading1"/>
        <w:rPr>
          <w:rFonts w:cs="Arial"/>
          <w:szCs w:val="28"/>
        </w:rPr>
      </w:pPr>
      <w:r w:rsidRPr="008D10F5">
        <w:rPr>
          <w:rFonts w:cs="Arial"/>
          <w:szCs w:val="28"/>
        </w:rPr>
        <w:t>Problem/Background</w:t>
      </w:r>
    </w:p>
    <w:p w:rsidR="00472B88" w:rsidRPr="008D10F5" w:rsidRDefault="00472B88" w:rsidP="00E10360">
      <w:pPr>
        <w:rPr>
          <w:rFonts w:ascii="Palatino Linotype" w:hAnsi="Palatino Linotype" w:cs="Helv"/>
          <w:color w:val="000000"/>
        </w:rPr>
      </w:pPr>
    </w:p>
    <w:p w:rsidR="002416E1" w:rsidRPr="008D10F5" w:rsidRDefault="00BB3140" w:rsidP="00E10360">
      <w:pPr>
        <w:rPr>
          <w:rFonts w:ascii="Palatino Linotype" w:hAnsi="Palatino Linotype" w:cs="Helv"/>
          <w:color w:val="000000"/>
        </w:rPr>
      </w:pPr>
      <w:r w:rsidRPr="008D10F5">
        <w:rPr>
          <w:rFonts w:ascii="Palatino Linotype" w:hAnsi="Palatino Linotype" w:cs="Helv"/>
          <w:color w:val="000000"/>
        </w:rPr>
        <w:t>Improved regional databases of water-use information will be one of the most essential outcomes of the National Water Census and its Geographic Focus-Area Studies. By focusing effort on water use, the U.S. Geological Survey (USGS) will be better able to characterize how humans move, utilize, consume, and dispose of the water they withdraw, divert, or impound AND to integrate that information with our understanding of natural flows in the environment. Through this integrated approach, we will hope to describe how human use of water and natural flows influence one-</w:t>
      </w:r>
      <w:r w:rsidRPr="008D10F5">
        <w:rPr>
          <w:rFonts w:ascii="Palatino Linotype" w:hAnsi="Palatino Linotype" w:cs="Helv"/>
          <w:color w:val="000000"/>
        </w:rPr>
        <w:lastRenderedPageBreak/>
        <w:t>another. This requires that we understand the sources from which water is withdrawn (both surface-water and groundwater), the demand that the water is used to satisfy, the transport of the water to the demand location (including transportation losses), the amount of water that is “consumed” in satisfying the demand, and the volume and location of</w:t>
      </w:r>
      <w:r w:rsidR="00223DA3" w:rsidRPr="008D10F5">
        <w:rPr>
          <w:rFonts w:ascii="Palatino Linotype" w:hAnsi="Palatino Linotype" w:cs="Helv"/>
          <w:color w:val="000000"/>
        </w:rPr>
        <w:t xml:space="preserve"> water</w:t>
      </w:r>
      <w:r w:rsidRPr="008D10F5">
        <w:rPr>
          <w:rFonts w:ascii="Palatino Linotype" w:hAnsi="Palatino Linotype" w:cs="Helv"/>
          <w:color w:val="000000"/>
        </w:rPr>
        <w:t xml:space="preserve"> return</w:t>
      </w:r>
      <w:r w:rsidR="00223DA3" w:rsidRPr="008D10F5">
        <w:rPr>
          <w:rFonts w:ascii="Palatino Linotype" w:hAnsi="Palatino Linotype" w:cs="Helv"/>
          <w:color w:val="000000"/>
        </w:rPr>
        <w:t>ed</w:t>
      </w:r>
      <w:r w:rsidRPr="008D10F5">
        <w:rPr>
          <w:rFonts w:ascii="Palatino Linotype" w:hAnsi="Palatino Linotype" w:cs="Helv"/>
          <w:color w:val="000000"/>
        </w:rPr>
        <w:t xml:space="preserve"> to the environment, either as return flows to surface water or recharge to groundwater systems. Each of these steps has a strong geospatial component – we need to know which watersheds are losing flows, which are gaining flows, and the net exchange between watersheds.</w:t>
      </w:r>
    </w:p>
    <w:p w:rsidR="00472B88" w:rsidRPr="008D10F5" w:rsidRDefault="00472B88" w:rsidP="00E10360">
      <w:pPr>
        <w:rPr>
          <w:rFonts w:ascii="Palatino Linotype" w:hAnsi="Palatino Linotype" w:cs="Helv"/>
          <w:color w:val="000000"/>
        </w:rPr>
      </w:pP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r w:rsidRPr="008D10F5">
        <w:rPr>
          <w:rFonts w:ascii="Palatino Linotype" w:hAnsi="Palatino Linotype" w:cs="Helv"/>
          <w:color w:val="000000"/>
        </w:rPr>
        <w:t>An important aspect of developing better water-use information is the integration of water-use data from other federal, state, and regional agencies and commercial sources. These databases are essential to the success of the water-use estimation effort. In many cases, these outside entities are the primary sources of water-use data. Because States have the primary role in water-supply planning and management, they are the collectors of water-use data. State water allocation programs serve as the first source of information for many water-use sectors. Additionally, there are a number of federal water-use databases and surveys that collect information that is of great importance to water-use estimation. The US Department of Agriculture’s Census of Agriculture and Farm and Ranch Irrigation Surveys are excellent examples of this. Other federal databases include:</w:t>
      </w: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p>
    <w:p w:rsidR="00472B88" w:rsidRPr="008D10F5" w:rsidRDefault="00472B88" w:rsidP="00FF48B7">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sz w:val="24"/>
          <w:szCs w:val="24"/>
        </w:rPr>
      </w:pPr>
      <w:r w:rsidRPr="008D10F5">
        <w:rPr>
          <w:rFonts w:ascii="Palatino Linotype" w:hAnsi="Palatino Linotype" w:cs="Helv"/>
          <w:color w:val="000000"/>
          <w:sz w:val="24"/>
          <w:szCs w:val="24"/>
        </w:rPr>
        <w:t>US Environmental Protection Agency’s Safe Drinking Water Information System (SDWIS) for public supply withdrawals, and the National Pollution Discharge Elimination System (NPDES) and the Permit Compliance System (PCS) database that stores permitted wastewater and stormwater discharges.</w:t>
      </w:r>
    </w:p>
    <w:p w:rsidR="00472B88" w:rsidRPr="008D10F5" w:rsidRDefault="00472B88" w:rsidP="00FF48B7">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sz w:val="24"/>
          <w:szCs w:val="24"/>
        </w:rPr>
      </w:pPr>
      <w:r w:rsidRPr="008D10F5">
        <w:rPr>
          <w:rFonts w:ascii="Palatino Linotype" w:hAnsi="Palatino Linotype" w:cs="Helv"/>
          <w:color w:val="000000"/>
          <w:sz w:val="24"/>
          <w:szCs w:val="24"/>
        </w:rPr>
        <w:t>US Department of Energy – Energy Information Administration databases for</w:t>
      </w:r>
      <w:r w:rsidR="00826FFD" w:rsidRPr="008D10F5">
        <w:rPr>
          <w:rFonts w:ascii="Palatino Linotype" w:hAnsi="Palatino Linotype" w:cs="Helv"/>
          <w:color w:val="000000"/>
          <w:sz w:val="24"/>
          <w:szCs w:val="24"/>
        </w:rPr>
        <w:t xml:space="preserve"> water use at</w:t>
      </w:r>
      <w:r w:rsidRPr="008D10F5">
        <w:rPr>
          <w:rFonts w:ascii="Palatino Linotype" w:hAnsi="Palatino Linotype" w:cs="Helv"/>
          <w:color w:val="000000"/>
          <w:sz w:val="24"/>
          <w:szCs w:val="24"/>
        </w:rPr>
        <w:t xml:space="preserve"> electric power generating plant</w:t>
      </w:r>
      <w:r w:rsidR="00826FFD" w:rsidRPr="008D10F5">
        <w:rPr>
          <w:rFonts w:ascii="Palatino Linotype" w:hAnsi="Palatino Linotype" w:cs="Helv"/>
          <w:color w:val="000000"/>
          <w:sz w:val="24"/>
          <w:szCs w:val="24"/>
        </w:rPr>
        <w:t>s</w:t>
      </w:r>
      <w:r w:rsidRPr="008D10F5">
        <w:rPr>
          <w:rFonts w:ascii="Palatino Linotype" w:hAnsi="Palatino Linotype" w:cs="Helv"/>
          <w:color w:val="000000"/>
          <w:sz w:val="24"/>
          <w:szCs w:val="24"/>
        </w:rPr>
        <w:t>.</w:t>
      </w:r>
    </w:p>
    <w:p w:rsidR="00472B88" w:rsidRPr="008D10F5" w:rsidRDefault="00472B88" w:rsidP="00FF48B7">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sz w:val="24"/>
          <w:szCs w:val="24"/>
        </w:rPr>
      </w:pPr>
      <w:r w:rsidRPr="008D10F5">
        <w:rPr>
          <w:rFonts w:ascii="Palatino Linotype" w:hAnsi="Palatino Linotype" w:cs="Helv"/>
          <w:color w:val="000000"/>
          <w:sz w:val="24"/>
          <w:szCs w:val="24"/>
        </w:rPr>
        <w:t>US Census Bureau’s various databases on current population enumerations and population projections</w:t>
      </w:r>
      <w:r w:rsidR="00826FFD" w:rsidRPr="008D10F5">
        <w:rPr>
          <w:rFonts w:ascii="Palatino Linotype" w:hAnsi="Palatino Linotype" w:cs="Helv"/>
          <w:color w:val="000000"/>
          <w:sz w:val="24"/>
          <w:szCs w:val="24"/>
        </w:rPr>
        <w:t xml:space="preserve"> (can be extrapolated to estimate rural water use).</w:t>
      </w:r>
    </w:p>
    <w:p w:rsidR="00472B88" w:rsidRPr="008D10F5" w:rsidRDefault="00472B88" w:rsidP="00FF48B7">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sz w:val="24"/>
          <w:szCs w:val="24"/>
        </w:rPr>
      </w:pPr>
      <w:r w:rsidRPr="008D10F5">
        <w:rPr>
          <w:rFonts w:ascii="Palatino Linotype" w:hAnsi="Palatino Linotype" w:cs="Helv"/>
          <w:color w:val="000000"/>
          <w:sz w:val="24"/>
          <w:szCs w:val="24"/>
        </w:rPr>
        <w:t>US Department of Agriculture, National Agriculture Statistics Service annual geospatial data layers depicting croplands and crop types (Cropland Data Layer, CDL), along with the Census of Agriculture (years ending in ‘2’ and ‘7’) and Farm and Ranch Irrigation Survey (years ending in ‘3’ and ‘8’).</w:t>
      </w: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r w:rsidRPr="008D10F5">
        <w:rPr>
          <w:rFonts w:ascii="Palatino Linotype" w:hAnsi="Palatino Linotype" w:cs="Helv"/>
          <w:color w:val="000000"/>
        </w:rPr>
        <w:lastRenderedPageBreak/>
        <w:t>Capabilities within USGS that will play critical roles in interpreting information important to CRB</w:t>
      </w:r>
      <w:r w:rsidR="00F21C3D">
        <w:rPr>
          <w:rFonts w:ascii="Palatino Linotype" w:hAnsi="Palatino Linotype" w:cs="Helv"/>
          <w:color w:val="000000"/>
        </w:rPr>
        <w:t>FAS</w:t>
      </w:r>
      <w:r w:rsidRPr="008D10F5">
        <w:rPr>
          <w:rFonts w:ascii="Palatino Linotype" w:hAnsi="Palatino Linotype" w:cs="Helv"/>
          <w:color w:val="000000"/>
        </w:rPr>
        <w:t xml:space="preserve"> water demand and use, and then organizing, storing and disseminating that data will include:</w:t>
      </w:r>
    </w:p>
    <w:p w:rsidR="00FF48B7" w:rsidRPr="008D10F5" w:rsidRDefault="00FF48B7"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p>
    <w:p w:rsidR="00472B88" w:rsidRPr="008D10F5" w:rsidRDefault="00472B88" w:rsidP="00FF48B7">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sz w:val="24"/>
          <w:szCs w:val="24"/>
        </w:rPr>
      </w:pPr>
      <w:r w:rsidRPr="008D10F5">
        <w:rPr>
          <w:rFonts w:ascii="Palatino Linotype" w:hAnsi="Palatino Linotype" w:cs="Helv"/>
          <w:color w:val="000000"/>
          <w:sz w:val="24"/>
          <w:szCs w:val="24"/>
        </w:rPr>
        <w:t xml:space="preserve">Remote sensing using LANDSAT or MODIS infrared imagery for determining crop and/or riparian evapotranspiration </w:t>
      </w:r>
    </w:p>
    <w:p w:rsidR="00472B88" w:rsidRPr="008D10F5" w:rsidRDefault="00472B88" w:rsidP="00FF48B7">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sz w:val="24"/>
          <w:szCs w:val="24"/>
        </w:rPr>
      </w:pPr>
      <w:r w:rsidRPr="008D10F5">
        <w:rPr>
          <w:rFonts w:ascii="Palatino Linotype" w:hAnsi="Palatino Linotype" w:cs="Helv"/>
          <w:color w:val="000000"/>
          <w:sz w:val="24"/>
          <w:szCs w:val="24"/>
        </w:rPr>
        <w:t xml:space="preserve">Use of the National Hydrologic Dataset (NHDPlus) geospatial data layer to track the movement of water via mapped points of diversion, as well as enhancement of the hydrologic network classifications (canals/pipes over or under water features), which provide a foundation for developing the basic geospatial framework and understanding of where water is diverted, moved, used and returned on a flow-direction corrected geospatial dataset. </w:t>
      </w:r>
    </w:p>
    <w:p w:rsidR="00472B88" w:rsidRPr="008D10F5" w:rsidRDefault="00472B88" w:rsidP="00FF48B7">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sz w:val="24"/>
          <w:szCs w:val="24"/>
        </w:rPr>
      </w:pPr>
      <w:r w:rsidRPr="008D10F5">
        <w:rPr>
          <w:rFonts w:ascii="Palatino Linotype" w:hAnsi="Palatino Linotype" w:cs="Helv"/>
          <w:color w:val="000000"/>
          <w:sz w:val="24"/>
          <w:szCs w:val="24"/>
        </w:rPr>
        <w:t xml:space="preserve">Integration of water-use data into </w:t>
      </w:r>
      <w:proofErr w:type="spellStart"/>
      <w:r w:rsidRPr="008D10F5">
        <w:rPr>
          <w:rFonts w:ascii="Palatino Linotype" w:hAnsi="Palatino Linotype" w:cs="Helv"/>
          <w:color w:val="000000"/>
          <w:sz w:val="24"/>
          <w:szCs w:val="24"/>
        </w:rPr>
        <w:t>StreamStats</w:t>
      </w:r>
      <w:proofErr w:type="spellEnd"/>
      <w:r w:rsidRPr="008D10F5">
        <w:rPr>
          <w:rFonts w:ascii="Palatino Linotype" w:hAnsi="Palatino Linotype" w:cs="Helv"/>
          <w:color w:val="000000"/>
          <w:sz w:val="24"/>
          <w:szCs w:val="24"/>
        </w:rPr>
        <w:t xml:space="preserve">, a web-based geospatial statistical tool that depicts stream-flow statistics and basin characteristics for </w:t>
      </w:r>
      <w:proofErr w:type="spellStart"/>
      <w:r w:rsidRPr="008D10F5">
        <w:rPr>
          <w:rFonts w:ascii="Palatino Linotype" w:hAnsi="Palatino Linotype" w:cs="Helv"/>
          <w:color w:val="000000"/>
          <w:sz w:val="24"/>
          <w:szCs w:val="24"/>
        </w:rPr>
        <w:t>ungaged</w:t>
      </w:r>
      <w:proofErr w:type="spellEnd"/>
      <w:r w:rsidRPr="008D10F5">
        <w:rPr>
          <w:rFonts w:ascii="Palatino Linotype" w:hAnsi="Palatino Linotype" w:cs="Helv"/>
          <w:color w:val="000000"/>
          <w:sz w:val="24"/>
          <w:szCs w:val="24"/>
        </w:rPr>
        <w:t xml:space="preserve"> user defined basins.</w:t>
      </w: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r w:rsidRPr="008D10F5">
        <w:rPr>
          <w:rFonts w:ascii="Palatino Linotype" w:hAnsi="Palatino Linotype" w:cs="Helv"/>
          <w:color w:val="000000"/>
        </w:rPr>
        <w:t>The CRB</w:t>
      </w:r>
      <w:r w:rsidR="00F21C3D">
        <w:rPr>
          <w:rFonts w:ascii="Palatino Linotype" w:hAnsi="Palatino Linotype" w:cs="Helv"/>
          <w:color w:val="000000"/>
        </w:rPr>
        <w:t>FAS</w:t>
      </w:r>
      <w:r w:rsidRPr="008D10F5">
        <w:rPr>
          <w:rFonts w:ascii="Palatino Linotype" w:hAnsi="Palatino Linotype" w:cs="Helv"/>
          <w:color w:val="000000"/>
        </w:rPr>
        <w:t xml:space="preserve"> will make use of all of these databases and tools in its water-use characterization efforts</w:t>
      </w: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r w:rsidRPr="008D10F5">
        <w:rPr>
          <w:rFonts w:ascii="Palatino Linotype" w:hAnsi="Palatino Linotype" w:cs="Helv"/>
          <w:color w:val="000000"/>
        </w:rPr>
        <w:t xml:space="preserve">In order to integrate water-use data with natural-flow data, </w:t>
      </w:r>
      <w:r w:rsidR="00870623" w:rsidRPr="008D10F5">
        <w:rPr>
          <w:rFonts w:ascii="Palatino Linotype" w:hAnsi="Palatino Linotype" w:cs="Helv"/>
          <w:color w:val="000000"/>
        </w:rPr>
        <w:t xml:space="preserve">the USGS </w:t>
      </w:r>
      <w:r w:rsidR="001A671F" w:rsidRPr="008D10F5">
        <w:rPr>
          <w:rFonts w:ascii="Palatino Linotype" w:hAnsi="Palatino Linotype" w:cs="Helv"/>
          <w:color w:val="000000"/>
        </w:rPr>
        <w:t>will strive to improve</w:t>
      </w:r>
      <w:r w:rsidR="00870623" w:rsidRPr="008D10F5">
        <w:rPr>
          <w:rFonts w:ascii="Palatino Linotype" w:hAnsi="Palatino Linotype" w:cs="Helv"/>
          <w:color w:val="000000"/>
        </w:rPr>
        <w:t xml:space="preserve"> information on the</w:t>
      </w:r>
      <w:r w:rsidRPr="008D10F5">
        <w:rPr>
          <w:rFonts w:ascii="Palatino Linotype" w:hAnsi="Palatino Linotype" w:cs="Helv"/>
          <w:color w:val="000000"/>
        </w:rPr>
        <w:t xml:space="preserve"> location </w:t>
      </w:r>
      <w:r w:rsidR="00870623" w:rsidRPr="008D10F5">
        <w:rPr>
          <w:rFonts w:ascii="Palatino Linotype" w:hAnsi="Palatino Linotype" w:cs="Helv"/>
          <w:color w:val="000000"/>
        </w:rPr>
        <w:t>of</w:t>
      </w:r>
      <w:r w:rsidRPr="008D10F5">
        <w:rPr>
          <w:rFonts w:ascii="Palatino Linotype" w:hAnsi="Palatino Linotype" w:cs="Helv"/>
          <w:color w:val="000000"/>
        </w:rPr>
        <w:t xml:space="preserve"> the point</w:t>
      </w:r>
      <w:r w:rsidR="00870623" w:rsidRPr="008D10F5">
        <w:rPr>
          <w:rFonts w:ascii="Palatino Linotype" w:hAnsi="Palatino Linotype" w:cs="Helv"/>
          <w:color w:val="000000"/>
        </w:rPr>
        <w:t>s</w:t>
      </w:r>
      <w:r w:rsidRPr="008D10F5">
        <w:rPr>
          <w:rFonts w:ascii="Palatino Linotype" w:hAnsi="Palatino Linotype" w:cs="Helv"/>
          <w:color w:val="000000"/>
        </w:rPr>
        <w:t xml:space="preserve"> of </w:t>
      </w:r>
      <w:r w:rsidR="00870623" w:rsidRPr="008D10F5">
        <w:rPr>
          <w:rFonts w:ascii="Palatino Linotype" w:hAnsi="Palatino Linotype" w:cs="Helv"/>
          <w:color w:val="000000"/>
        </w:rPr>
        <w:t xml:space="preserve">water </w:t>
      </w:r>
      <w:r w:rsidRPr="008D10F5">
        <w:rPr>
          <w:rFonts w:ascii="Palatino Linotype" w:hAnsi="Palatino Linotype" w:cs="Helv"/>
          <w:color w:val="000000"/>
        </w:rPr>
        <w:t xml:space="preserve">withdrawal, the source </w:t>
      </w:r>
      <w:r w:rsidR="00870623" w:rsidRPr="008D10F5">
        <w:rPr>
          <w:rFonts w:ascii="Palatino Linotype" w:hAnsi="Palatino Linotype" w:cs="Helv"/>
          <w:color w:val="000000"/>
        </w:rPr>
        <w:t xml:space="preserve">from which </w:t>
      </w:r>
      <w:r w:rsidRPr="008D10F5">
        <w:rPr>
          <w:rFonts w:ascii="Palatino Linotype" w:hAnsi="Palatino Linotype" w:cs="Helv"/>
          <w:color w:val="000000"/>
        </w:rPr>
        <w:t xml:space="preserve">the water is withdrawn, the location of the </w:t>
      </w:r>
      <w:r w:rsidR="00870623" w:rsidRPr="008D10F5">
        <w:rPr>
          <w:rFonts w:ascii="Palatino Linotype" w:hAnsi="Palatino Linotype" w:cs="Helv"/>
          <w:color w:val="000000"/>
        </w:rPr>
        <w:t xml:space="preserve">points of </w:t>
      </w:r>
      <w:r w:rsidRPr="008D10F5">
        <w:rPr>
          <w:rFonts w:ascii="Palatino Linotype" w:hAnsi="Palatino Linotype" w:cs="Helv"/>
          <w:color w:val="000000"/>
        </w:rPr>
        <w:t>demand</w:t>
      </w:r>
      <w:r w:rsidR="007C6C6B" w:rsidRPr="008D10F5">
        <w:rPr>
          <w:rFonts w:ascii="Palatino Linotype" w:hAnsi="Palatino Linotype" w:cs="Helv"/>
          <w:color w:val="000000"/>
        </w:rPr>
        <w:t xml:space="preserve"> to which the water is delivered</w:t>
      </w:r>
      <w:r w:rsidR="00BC58C3">
        <w:rPr>
          <w:rFonts w:ascii="Palatino Linotype" w:hAnsi="Palatino Linotype" w:cs="Helv"/>
          <w:color w:val="000000"/>
        </w:rPr>
        <w:t>,</w:t>
      </w:r>
      <w:r w:rsidR="007C6C6B" w:rsidRPr="008D10F5">
        <w:rPr>
          <w:rFonts w:ascii="Palatino Linotype" w:hAnsi="Palatino Linotype" w:cs="Helv"/>
          <w:color w:val="000000"/>
        </w:rPr>
        <w:t xml:space="preserve"> and the transit losses of water in route to that location</w:t>
      </w:r>
      <w:r w:rsidR="00BC58C3">
        <w:rPr>
          <w:rFonts w:ascii="Palatino Linotype" w:hAnsi="Palatino Linotype" w:cs="Helv"/>
          <w:color w:val="000000"/>
        </w:rPr>
        <w:t>.</w:t>
      </w:r>
      <w:r w:rsidR="00BC58C3" w:rsidRPr="008D10F5">
        <w:rPr>
          <w:rFonts w:ascii="Palatino Linotype" w:hAnsi="Palatino Linotype" w:cs="Helv"/>
          <w:color w:val="000000"/>
        </w:rPr>
        <w:t xml:space="preserve"> </w:t>
      </w:r>
      <w:r w:rsidR="00BC58C3">
        <w:rPr>
          <w:rFonts w:ascii="Palatino Linotype" w:hAnsi="Palatino Linotype" w:cs="Helv"/>
          <w:color w:val="000000"/>
        </w:rPr>
        <w:t>F</w:t>
      </w:r>
      <w:r w:rsidR="007C6C6B" w:rsidRPr="008D10F5">
        <w:rPr>
          <w:rFonts w:ascii="Palatino Linotype" w:hAnsi="Palatino Linotype" w:cs="Helv"/>
          <w:color w:val="000000"/>
        </w:rPr>
        <w:t>inally,</w:t>
      </w:r>
      <w:r w:rsidRPr="008D10F5">
        <w:rPr>
          <w:rFonts w:ascii="Palatino Linotype" w:hAnsi="Palatino Linotype" w:cs="Helv"/>
          <w:color w:val="000000"/>
        </w:rPr>
        <w:t xml:space="preserve"> </w:t>
      </w:r>
      <w:r w:rsidR="00BC58C3">
        <w:rPr>
          <w:rFonts w:ascii="Palatino Linotype" w:hAnsi="Palatino Linotype" w:cs="Helv"/>
          <w:color w:val="000000"/>
        </w:rPr>
        <w:t xml:space="preserve">we hope that this information will allow a mass-balance estimation of </w:t>
      </w:r>
      <w:r w:rsidRPr="008D10F5">
        <w:rPr>
          <w:rFonts w:ascii="Palatino Linotype" w:hAnsi="Palatino Linotype" w:cs="Helv"/>
          <w:color w:val="000000"/>
        </w:rPr>
        <w:t xml:space="preserve">the </w:t>
      </w:r>
      <w:r w:rsidR="00870623" w:rsidRPr="008D10F5">
        <w:rPr>
          <w:rFonts w:ascii="Palatino Linotype" w:hAnsi="Palatino Linotype" w:cs="Helv"/>
          <w:color w:val="000000"/>
        </w:rPr>
        <w:t xml:space="preserve">volume of the </w:t>
      </w:r>
      <w:r w:rsidRPr="008D10F5">
        <w:rPr>
          <w:rFonts w:ascii="Palatino Linotype" w:hAnsi="Palatino Linotype" w:cs="Helv"/>
          <w:color w:val="000000"/>
        </w:rPr>
        <w:t xml:space="preserve">eventual </w:t>
      </w:r>
      <w:r w:rsidR="00870623" w:rsidRPr="008D10F5">
        <w:rPr>
          <w:rFonts w:ascii="Palatino Linotype" w:hAnsi="Palatino Linotype" w:cs="Helv"/>
          <w:color w:val="000000"/>
        </w:rPr>
        <w:t>“</w:t>
      </w:r>
      <w:r w:rsidRPr="008D10F5">
        <w:rPr>
          <w:rFonts w:ascii="Palatino Linotype" w:hAnsi="Palatino Linotype" w:cs="Helv"/>
          <w:color w:val="000000"/>
        </w:rPr>
        <w:t>return flow</w:t>
      </w:r>
      <w:r w:rsidR="00BC58C3">
        <w:rPr>
          <w:rFonts w:ascii="Palatino Linotype" w:hAnsi="Palatino Linotype" w:cs="Helv"/>
          <w:color w:val="000000"/>
        </w:rPr>
        <w:t>s</w:t>
      </w:r>
      <w:r w:rsidR="00870623" w:rsidRPr="008D10F5">
        <w:rPr>
          <w:rFonts w:ascii="Palatino Linotype" w:hAnsi="Palatino Linotype" w:cs="Helv"/>
          <w:color w:val="000000"/>
        </w:rPr>
        <w:t>”</w:t>
      </w:r>
      <w:r w:rsidRPr="008D10F5">
        <w:rPr>
          <w:rFonts w:ascii="Palatino Linotype" w:hAnsi="Palatino Linotype" w:cs="Helv"/>
          <w:color w:val="000000"/>
        </w:rPr>
        <w:t xml:space="preserve"> </w:t>
      </w:r>
      <w:r w:rsidR="00BC58C3">
        <w:rPr>
          <w:rFonts w:ascii="Palatino Linotype" w:hAnsi="Palatino Linotype" w:cs="Helv"/>
          <w:color w:val="000000"/>
        </w:rPr>
        <w:t xml:space="preserve">back </w:t>
      </w:r>
      <w:r w:rsidRPr="008D10F5">
        <w:rPr>
          <w:rFonts w:ascii="Palatino Linotype" w:hAnsi="Palatino Linotype" w:cs="Helv"/>
          <w:color w:val="000000"/>
        </w:rPr>
        <w:t xml:space="preserve">to the environment. </w:t>
      </w:r>
      <w:r w:rsidR="007C6C6B" w:rsidRPr="008D10F5">
        <w:rPr>
          <w:rFonts w:ascii="Palatino Linotype" w:hAnsi="Palatino Linotype" w:cs="Helv"/>
          <w:color w:val="000000"/>
        </w:rPr>
        <w:t>D</w:t>
      </w:r>
      <w:r w:rsidR="00F62AAD" w:rsidRPr="008D10F5">
        <w:rPr>
          <w:rFonts w:ascii="Palatino Linotype" w:hAnsi="Palatino Linotype" w:cs="Helv"/>
          <w:color w:val="000000"/>
        </w:rPr>
        <w:t>ue</w:t>
      </w:r>
      <w:r w:rsidR="007C6C6B" w:rsidRPr="008D10F5">
        <w:rPr>
          <w:rFonts w:ascii="Palatino Linotype" w:hAnsi="Palatino Linotype" w:cs="Helv"/>
          <w:color w:val="000000"/>
        </w:rPr>
        <w:t xml:space="preserve"> to the large area encompassed by the </w:t>
      </w:r>
      <w:r w:rsidR="004141B4">
        <w:rPr>
          <w:rFonts w:ascii="Palatino Linotype" w:hAnsi="Palatino Linotype" w:cs="Helv"/>
          <w:color w:val="000000"/>
        </w:rPr>
        <w:t>CRBFAS</w:t>
      </w:r>
      <w:r w:rsidR="007C6C6B" w:rsidRPr="008D10F5">
        <w:rPr>
          <w:rFonts w:ascii="Palatino Linotype" w:hAnsi="Palatino Linotype" w:cs="Helv"/>
          <w:color w:val="000000"/>
        </w:rPr>
        <w:t xml:space="preserve">, the USGS intends to work at multiple spatial and temporal scales to develop information across the </w:t>
      </w:r>
      <w:r w:rsidR="00F62AAD" w:rsidRPr="008D10F5">
        <w:rPr>
          <w:rFonts w:ascii="Palatino Linotype" w:hAnsi="Palatino Linotype" w:cs="Helv"/>
          <w:color w:val="000000"/>
        </w:rPr>
        <w:t xml:space="preserve">entire </w:t>
      </w:r>
      <w:r w:rsidR="007C6C6B" w:rsidRPr="008D10F5">
        <w:rPr>
          <w:rFonts w:ascii="Palatino Linotype" w:hAnsi="Palatino Linotype" w:cs="Helv"/>
          <w:color w:val="000000"/>
        </w:rPr>
        <w:t xml:space="preserve">basin as well as demonstrate analysis and interpretative capabilities at selected sub-basin scales. </w:t>
      </w:r>
      <w:r w:rsidRPr="008D10F5">
        <w:rPr>
          <w:rFonts w:ascii="Palatino Linotype" w:hAnsi="Palatino Linotype" w:cs="Helv"/>
          <w:color w:val="000000"/>
        </w:rPr>
        <w:t>The CRB</w:t>
      </w:r>
      <w:r w:rsidR="00F21C3D">
        <w:rPr>
          <w:rFonts w:ascii="Palatino Linotype" w:hAnsi="Palatino Linotype" w:cs="Helv"/>
          <w:color w:val="000000"/>
        </w:rPr>
        <w:t xml:space="preserve">FAS </w:t>
      </w:r>
      <w:r w:rsidRPr="008D10F5">
        <w:rPr>
          <w:rFonts w:ascii="Palatino Linotype" w:hAnsi="Palatino Linotype" w:cs="Helv"/>
          <w:color w:val="000000"/>
        </w:rPr>
        <w:t xml:space="preserve">will </w:t>
      </w:r>
      <w:r w:rsidR="00870623" w:rsidRPr="008D10F5">
        <w:rPr>
          <w:rFonts w:ascii="Palatino Linotype" w:hAnsi="Palatino Linotype" w:cs="Helv"/>
          <w:color w:val="000000"/>
        </w:rPr>
        <w:t xml:space="preserve">compile and integrate </w:t>
      </w:r>
      <w:r w:rsidRPr="008D10F5">
        <w:rPr>
          <w:rFonts w:ascii="Palatino Linotype" w:hAnsi="Palatino Linotype" w:cs="Helv"/>
          <w:color w:val="000000"/>
        </w:rPr>
        <w:t>location information in selected areas for Public Supply</w:t>
      </w:r>
      <w:r w:rsidR="004141B4">
        <w:rPr>
          <w:rFonts w:ascii="Palatino Linotype" w:hAnsi="Palatino Linotype" w:cs="Helv"/>
          <w:color w:val="000000"/>
        </w:rPr>
        <w:t xml:space="preserve"> (“Large” and “Very Large” systems, which include population served greater than 10,000)</w:t>
      </w:r>
      <w:r w:rsidR="00FC2C36">
        <w:rPr>
          <w:rFonts w:ascii="Palatino Linotype" w:hAnsi="Palatino Linotype" w:cs="Helv"/>
          <w:color w:val="000000"/>
        </w:rPr>
        <w:t xml:space="preserve"> and</w:t>
      </w:r>
      <w:r w:rsidR="004141B4" w:rsidRPr="008D10F5">
        <w:rPr>
          <w:rFonts w:ascii="Palatino Linotype" w:hAnsi="Palatino Linotype" w:cs="Helv"/>
          <w:color w:val="000000"/>
        </w:rPr>
        <w:t xml:space="preserve"> </w:t>
      </w:r>
      <w:r w:rsidRPr="008D10F5">
        <w:rPr>
          <w:rFonts w:ascii="Palatino Linotype" w:hAnsi="Palatino Linotype" w:cs="Helv"/>
          <w:color w:val="000000"/>
        </w:rPr>
        <w:t>Irrigation</w:t>
      </w:r>
      <w:r w:rsidR="00FC2C36">
        <w:rPr>
          <w:rFonts w:ascii="Palatino Linotype" w:hAnsi="Palatino Linotype" w:cs="Helv"/>
          <w:color w:val="000000"/>
        </w:rPr>
        <w:t xml:space="preserve"> water uses</w:t>
      </w:r>
      <w:r w:rsidR="00FC2C36">
        <w:rPr>
          <w:rFonts w:ascii="Palatino Linotype" w:hAnsi="Palatino Linotype" w:cs="Helv"/>
          <w:color w:val="000000"/>
        </w:rPr>
        <w:t>.</w:t>
      </w:r>
      <w:r w:rsidR="00FC2C36">
        <w:rPr>
          <w:rFonts w:ascii="Palatino Linotype" w:hAnsi="Palatino Linotype" w:cs="Helv"/>
          <w:color w:val="000000"/>
        </w:rPr>
        <w:t xml:space="preserve"> Water-use information for the </w:t>
      </w:r>
      <w:r w:rsidRPr="008D10F5">
        <w:rPr>
          <w:rFonts w:ascii="Palatino Linotype" w:hAnsi="Palatino Linotype" w:cs="Helv"/>
          <w:color w:val="000000"/>
        </w:rPr>
        <w:t>Industrial, Mining and Thermoelectric</w:t>
      </w:r>
      <w:r w:rsidR="00FC2C36">
        <w:rPr>
          <w:rFonts w:ascii="Palatino Linotype" w:hAnsi="Palatino Linotype" w:cs="Helv"/>
          <w:color w:val="000000"/>
        </w:rPr>
        <w:t xml:space="preserve"> sectors will be compiled where available to provide as complete a summary as possible for the CRBFAS</w:t>
      </w:r>
      <w:r w:rsidRPr="008D10F5">
        <w:rPr>
          <w:rFonts w:ascii="Palatino Linotype" w:hAnsi="Palatino Linotype" w:cs="Helv"/>
          <w:color w:val="000000"/>
        </w:rPr>
        <w:t xml:space="preserve">. For Public Supply, this </w:t>
      </w:r>
      <w:r w:rsidR="007942EF">
        <w:rPr>
          <w:rFonts w:ascii="Palatino Linotype" w:hAnsi="Palatino Linotype" w:cs="Helv"/>
          <w:color w:val="000000"/>
        </w:rPr>
        <w:t xml:space="preserve">effort </w:t>
      </w:r>
      <w:r w:rsidRPr="008D10F5">
        <w:rPr>
          <w:rFonts w:ascii="Palatino Linotype" w:hAnsi="Palatino Linotype" w:cs="Helv"/>
          <w:color w:val="000000"/>
        </w:rPr>
        <w:t xml:space="preserve">will initially focus </w:t>
      </w:r>
      <w:r w:rsidR="001A671F" w:rsidRPr="008D10F5">
        <w:rPr>
          <w:rFonts w:ascii="Palatino Linotype" w:hAnsi="Palatino Linotype" w:cs="Helv"/>
          <w:color w:val="000000"/>
        </w:rPr>
        <w:t xml:space="preserve">on </w:t>
      </w:r>
      <w:r w:rsidRPr="008D10F5">
        <w:rPr>
          <w:rFonts w:ascii="Palatino Linotype" w:hAnsi="Palatino Linotype" w:cs="Helv"/>
          <w:color w:val="000000"/>
        </w:rPr>
        <w:t>improved information through the SDWIS database</w:t>
      </w:r>
      <w:r w:rsidR="004141B4">
        <w:rPr>
          <w:rFonts w:ascii="Palatino Linotype" w:hAnsi="Palatino Linotype" w:cs="Helv"/>
          <w:color w:val="000000"/>
        </w:rPr>
        <w:t xml:space="preserve"> and include very large systems outside the CRBFAS only when water is transferred out of the CRBFAS to supply those systems. F</w:t>
      </w:r>
      <w:r w:rsidR="001404AD">
        <w:rPr>
          <w:rFonts w:ascii="Palatino Linotype" w:hAnsi="Palatino Linotype" w:cs="Helv"/>
          <w:color w:val="000000"/>
        </w:rPr>
        <w:t xml:space="preserve">or Industrial </w:t>
      </w:r>
      <w:r w:rsidR="004141B4">
        <w:rPr>
          <w:rFonts w:ascii="Palatino Linotype" w:hAnsi="Palatino Linotype" w:cs="Helv"/>
          <w:color w:val="000000"/>
        </w:rPr>
        <w:t xml:space="preserve">water use, </w:t>
      </w:r>
      <w:r w:rsidR="001404AD">
        <w:rPr>
          <w:rFonts w:ascii="Palatino Linotype" w:hAnsi="Palatino Linotype" w:cs="Helv"/>
          <w:color w:val="000000"/>
        </w:rPr>
        <w:t xml:space="preserve">the PCS database will provide wastewater discharge location and </w:t>
      </w:r>
      <w:r w:rsidR="004141B4">
        <w:rPr>
          <w:rFonts w:ascii="Palatino Linotype" w:hAnsi="Palatino Linotype" w:cs="Helv"/>
          <w:color w:val="000000"/>
        </w:rPr>
        <w:t>returns on monthly basis for very large (major) facilitie</w:t>
      </w:r>
      <w:r w:rsidRPr="008D10F5">
        <w:rPr>
          <w:rFonts w:ascii="Palatino Linotype" w:hAnsi="Palatino Linotype" w:cs="Helv"/>
          <w:color w:val="000000"/>
        </w:rPr>
        <w:t xml:space="preserve">s. For Irrigation, USGS will work with the USDA and </w:t>
      </w:r>
      <w:r w:rsidR="001A671F" w:rsidRPr="008D10F5">
        <w:rPr>
          <w:rFonts w:ascii="Palatino Linotype" w:hAnsi="Palatino Linotype" w:cs="Helv"/>
          <w:color w:val="000000"/>
        </w:rPr>
        <w:t>the USGS National Hydrography Dataset-Plus (</w:t>
      </w:r>
      <w:r w:rsidRPr="008D10F5">
        <w:rPr>
          <w:rFonts w:ascii="Palatino Linotype" w:hAnsi="Palatino Linotype" w:cs="Helv"/>
          <w:color w:val="000000"/>
        </w:rPr>
        <w:t>NHDPlus</w:t>
      </w:r>
      <w:r w:rsidR="001A671F" w:rsidRPr="008D10F5">
        <w:rPr>
          <w:rFonts w:ascii="Palatino Linotype" w:hAnsi="Palatino Linotype" w:cs="Helv"/>
          <w:color w:val="000000"/>
        </w:rPr>
        <w:t>)</w:t>
      </w:r>
      <w:r w:rsidRPr="008D10F5">
        <w:rPr>
          <w:rFonts w:ascii="Palatino Linotype" w:hAnsi="Palatino Linotype" w:cs="Helv"/>
          <w:color w:val="000000"/>
        </w:rPr>
        <w:t xml:space="preserve"> mapping by </w:t>
      </w:r>
      <w:r w:rsidRPr="008D10F5">
        <w:rPr>
          <w:rFonts w:ascii="Palatino Linotype" w:hAnsi="Palatino Linotype" w:cs="Helv"/>
          <w:color w:val="000000"/>
        </w:rPr>
        <w:lastRenderedPageBreak/>
        <w:t>USGS, CRB</w:t>
      </w:r>
      <w:r w:rsidR="001404AD">
        <w:rPr>
          <w:rFonts w:ascii="Palatino Linotype" w:hAnsi="Palatino Linotype" w:cs="Helv"/>
          <w:color w:val="000000"/>
        </w:rPr>
        <w:t>FAS</w:t>
      </w:r>
      <w:r w:rsidRPr="008D10F5">
        <w:rPr>
          <w:rFonts w:ascii="Palatino Linotype" w:hAnsi="Palatino Linotype" w:cs="Helv"/>
          <w:color w:val="000000"/>
        </w:rPr>
        <w:t xml:space="preserve"> States, and irrigation districts to improve the location information of diversions and crop types. </w:t>
      </w:r>
      <w:r w:rsidR="00870623" w:rsidRPr="008D10F5">
        <w:rPr>
          <w:rFonts w:ascii="Palatino Linotype" w:hAnsi="Palatino Linotype" w:cs="Helv"/>
          <w:color w:val="000000"/>
        </w:rPr>
        <w:t>Additional location data for irrigated lands also will be developed during processing of satellite imagery for estimating regional evapotranspiration</w:t>
      </w:r>
      <w:r w:rsidR="001404AD">
        <w:rPr>
          <w:rFonts w:ascii="Palatino Linotype" w:hAnsi="Palatino Linotype" w:cs="Helv"/>
          <w:color w:val="000000"/>
        </w:rPr>
        <w:t xml:space="preserve"> as well as the USDA CDL</w:t>
      </w:r>
      <w:r w:rsidR="00870623" w:rsidRPr="008D10F5">
        <w:rPr>
          <w:rFonts w:ascii="Palatino Linotype" w:hAnsi="Palatino Linotype" w:cs="Helv"/>
          <w:color w:val="000000"/>
        </w:rPr>
        <w:t xml:space="preserve">. </w:t>
      </w:r>
      <w:r w:rsidRPr="008D10F5">
        <w:rPr>
          <w:rFonts w:ascii="Palatino Linotype" w:hAnsi="Palatino Linotype" w:cs="Helv"/>
          <w:color w:val="000000"/>
        </w:rPr>
        <w:t xml:space="preserve">For Thermoelectric, good location data already exists. All location information will be tied to the </w:t>
      </w:r>
      <w:r w:rsidR="001A671F" w:rsidRPr="008D10F5">
        <w:rPr>
          <w:rFonts w:ascii="Palatino Linotype" w:hAnsi="Palatino Linotype" w:cs="Helv"/>
          <w:color w:val="000000"/>
        </w:rPr>
        <w:t>NHDPlus</w:t>
      </w:r>
      <w:r w:rsidR="001A671F" w:rsidRPr="008D10F5" w:rsidDel="001A671F">
        <w:rPr>
          <w:rFonts w:ascii="Palatino Linotype" w:hAnsi="Palatino Linotype" w:cs="Helv"/>
          <w:color w:val="000000"/>
        </w:rPr>
        <w:t xml:space="preserve"> </w:t>
      </w:r>
      <w:r w:rsidRPr="008D10F5">
        <w:rPr>
          <w:rFonts w:ascii="Palatino Linotype" w:hAnsi="Palatino Linotype" w:cs="Helv"/>
          <w:color w:val="000000"/>
        </w:rPr>
        <w:t>so that the information can be accurately geospatially referenced and aggregated upstream and downstream</w:t>
      </w:r>
      <w:r w:rsidR="001404AD">
        <w:rPr>
          <w:rFonts w:ascii="Palatino Linotype" w:hAnsi="Palatino Linotype" w:cs="Helv"/>
          <w:color w:val="000000"/>
        </w:rPr>
        <w:t>; compilation of withdrawal data will be completed by USGS water-use program efforts</w:t>
      </w:r>
      <w:r w:rsidRPr="008D10F5">
        <w:rPr>
          <w:rFonts w:ascii="Palatino Linotype" w:hAnsi="Palatino Linotype" w:cs="Helv"/>
          <w:color w:val="000000"/>
        </w:rPr>
        <w:t xml:space="preserve">. </w:t>
      </w:r>
      <w:r w:rsidR="001404AD">
        <w:rPr>
          <w:rFonts w:ascii="Palatino Linotype" w:hAnsi="Palatino Linotype" w:cs="Helv"/>
          <w:color w:val="000000"/>
        </w:rPr>
        <w:t>All of these efforts to locate and collect water-use data are</w:t>
      </w:r>
      <w:r w:rsidRPr="008D10F5">
        <w:rPr>
          <w:rFonts w:ascii="Palatino Linotype" w:hAnsi="Palatino Linotype" w:cs="Helv"/>
          <w:color w:val="000000"/>
        </w:rPr>
        <w:t xml:space="preserve"> vital to integrating </w:t>
      </w:r>
      <w:r w:rsidR="001404AD">
        <w:rPr>
          <w:rFonts w:ascii="Palatino Linotype" w:hAnsi="Palatino Linotype" w:cs="Helv"/>
          <w:color w:val="000000"/>
        </w:rPr>
        <w:t xml:space="preserve">those </w:t>
      </w:r>
      <w:r w:rsidRPr="008D10F5">
        <w:rPr>
          <w:rFonts w:ascii="Palatino Linotype" w:hAnsi="Palatino Linotype" w:cs="Helv"/>
          <w:color w:val="000000"/>
        </w:rPr>
        <w:t xml:space="preserve">data with natural-flow information, for example using </w:t>
      </w:r>
      <w:proofErr w:type="spellStart"/>
      <w:r w:rsidRPr="008D10F5">
        <w:rPr>
          <w:rFonts w:ascii="Palatino Linotype" w:hAnsi="Palatino Linotype" w:cs="Helv"/>
          <w:color w:val="000000"/>
        </w:rPr>
        <w:t>StreamStats</w:t>
      </w:r>
      <w:proofErr w:type="spellEnd"/>
      <w:r w:rsidRPr="008D10F5">
        <w:rPr>
          <w:rFonts w:ascii="Palatino Linotype" w:hAnsi="Palatino Linotype" w:cs="Helv"/>
          <w:color w:val="000000"/>
        </w:rPr>
        <w:t>.</w:t>
      </w: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r w:rsidRPr="008D10F5">
        <w:rPr>
          <w:rFonts w:ascii="Palatino Linotype" w:hAnsi="Palatino Linotype" w:cs="Helv"/>
          <w:color w:val="000000"/>
        </w:rPr>
        <w:t xml:space="preserve">Consumptive use of water is </w:t>
      </w:r>
      <w:r w:rsidR="00870623" w:rsidRPr="008D10F5">
        <w:rPr>
          <w:rFonts w:ascii="Palatino Linotype" w:hAnsi="Palatino Linotype" w:cs="Helv"/>
          <w:color w:val="000000"/>
        </w:rPr>
        <w:t xml:space="preserve">a </w:t>
      </w:r>
      <w:r w:rsidRPr="008D10F5">
        <w:rPr>
          <w:rFonts w:ascii="Palatino Linotype" w:hAnsi="Palatino Linotype" w:cs="Helv"/>
          <w:color w:val="000000"/>
        </w:rPr>
        <w:t xml:space="preserve">factor that many </w:t>
      </w:r>
      <w:r w:rsidR="00870623" w:rsidRPr="008D10F5">
        <w:rPr>
          <w:rFonts w:ascii="Palatino Linotype" w:hAnsi="Palatino Linotype" w:cs="Helv"/>
          <w:color w:val="000000"/>
        </w:rPr>
        <w:t xml:space="preserve">regional stakeholders and </w:t>
      </w:r>
      <w:r w:rsidRPr="008D10F5">
        <w:rPr>
          <w:rFonts w:ascii="Palatino Linotype" w:hAnsi="Palatino Linotype" w:cs="Helv"/>
          <w:color w:val="000000"/>
        </w:rPr>
        <w:t xml:space="preserve">water-supply managers </w:t>
      </w:r>
      <w:r w:rsidR="00870623" w:rsidRPr="008D10F5">
        <w:rPr>
          <w:rFonts w:ascii="Palatino Linotype" w:hAnsi="Palatino Linotype" w:cs="Helv"/>
          <w:color w:val="000000"/>
        </w:rPr>
        <w:t>have indicated as a primary</w:t>
      </w:r>
      <w:r w:rsidRPr="008D10F5">
        <w:rPr>
          <w:rFonts w:ascii="Palatino Linotype" w:hAnsi="Palatino Linotype" w:cs="Helv"/>
          <w:color w:val="000000"/>
        </w:rPr>
        <w:t xml:space="preserve"> focus </w:t>
      </w:r>
      <w:r w:rsidR="00870623" w:rsidRPr="008D10F5">
        <w:rPr>
          <w:rFonts w:ascii="Palatino Linotype" w:hAnsi="Palatino Linotype" w:cs="Helv"/>
          <w:color w:val="000000"/>
        </w:rPr>
        <w:t xml:space="preserve">of </w:t>
      </w:r>
      <w:r w:rsidRPr="008D10F5">
        <w:rPr>
          <w:rFonts w:ascii="Palatino Linotype" w:hAnsi="Palatino Linotype" w:cs="Helv"/>
          <w:color w:val="000000"/>
        </w:rPr>
        <w:t xml:space="preserve">their management strategies, yet there is a lack of available data in this area. What data do exist </w:t>
      </w:r>
      <w:proofErr w:type="gramStart"/>
      <w:r w:rsidRPr="008D10F5">
        <w:rPr>
          <w:rFonts w:ascii="Palatino Linotype" w:hAnsi="Palatino Linotype" w:cs="Helv"/>
          <w:color w:val="000000"/>
        </w:rPr>
        <w:t>are</w:t>
      </w:r>
      <w:proofErr w:type="gramEnd"/>
      <w:r w:rsidRPr="008D10F5">
        <w:rPr>
          <w:rFonts w:ascii="Palatino Linotype" w:hAnsi="Palatino Linotype" w:cs="Helv"/>
          <w:color w:val="000000"/>
        </w:rPr>
        <w:t xml:space="preserve"> very sporadic and out of date. The Water Census will make a substantial investment in expanding our knowledge of consumptive uses for the Public Supply and Irrigation Sectors in selected watersheds in the </w:t>
      </w:r>
      <w:r w:rsidR="001404AD">
        <w:rPr>
          <w:rFonts w:ascii="Palatino Linotype" w:hAnsi="Palatino Linotype" w:cs="Helv"/>
          <w:color w:val="000000"/>
        </w:rPr>
        <w:t>CRBFAS</w:t>
      </w:r>
      <w:r w:rsidRPr="008D10F5">
        <w:rPr>
          <w:rFonts w:ascii="Palatino Linotype" w:hAnsi="Palatino Linotype" w:cs="Helv"/>
          <w:color w:val="000000"/>
        </w:rPr>
        <w:t>. Information on consumptive uses by Thermoelectric will be supplied basin-wide by the Thermoelectric Project.</w:t>
      </w:r>
      <w:r w:rsidR="009F01D7" w:rsidRPr="008D10F5">
        <w:rPr>
          <w:rFonts w:ascii="Palatino Linotype" w:hAnsi="Palatino Linotype" w:cs="Helv"/>
          <w:color w:val="000000"/>
        </w:rPr>
        <w:t xml:space="preserve"> The USGS intends to employ multiple methods (statistical, water balance, land cover) in the estimation of consumptive use in these selected watersheds.</w:t>
      </w: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r w:rsidRPr="008D10F5">
        <w:rPr>
          <w:rFonts w:ascii="Palatino Linotype" w:hAnsi="Palatino Linotype" w:cs="Helv"/>
          <w:color w:val="000000"/>
        </w:rPr>
        <w:t xml:space="preserve">Historically, USGS </w:t>
      </w:r>
      <w:r w:rsidR="0069290E">
        <w:rPr>
          <w:rFonts w:ascii="Palatino Linotype" w:hAnsi="Palatino Linotype" w:cs="Helv"/>
          <w:color w:val="000000"/>
        </w:rPr>
        <w:t xml:space="preserve">has </w:t>
      </w:r>
      <w:r w:rsidRPr="008D10F5">
        <w:rPr>
          <w:rFonts w:ascii="Palatino Linotype" w:hAnsi="Palatino Linotype" w:cs="Helv"/>
          <w:color w:val="000000"/>
        </w:rPr>
        <w:t xml:space="preserve">published reports on significant </w:t>
      </w:r>
      <w:proofErr w:type="spellStart"/>
      <w:r w:rsidRPr="008D10F5">
        <w:rPr>
          <w:rFonts w:ascii="Palatino Linotype" w:hAnsi="Palatino Linotype" w:cs="Helv"/>
          <w:color w:val="000000"/>
        </w:rPr>
        <w:t>interbasin</w:t>
      </w:r>
      <w:proofErr w:type="spellEnd"/>
      <w:r w:rsidRPr="008D10F5">
        <w:rPr>
          <w:rFonts w:ascii="Palatino Linotype" w:hAnsi="Palatino Linotype" w:cs="Helv"/>
          <w:color w:val="000000"/>
        </w:rPr>
        <w:t xml:space="preserve"> transfers of water</w:t>
      </w:r>
      <w:r w:rsidR="005B14FE">
        <w:rPr>
          <w:rFonts w:ascii="Palatino Linotype" w:hAnsi="Palatino Linotype" w:cs="Helv"/>
          <w:color w:val="000000"/>
        </w:rPr>
        <w:t xml:space="preserve"> between </w:t>
      </w:r>
      <w:r w:rsidRPr="008D10F5">
        <w:rPr>
          <w:rFonts w:ascii="Palatino Linotype" w:hAnsi="Palatino Linotype" w:cs="Helv"/>
          <w:color w:val="000000"/>
        </w:rPr>
        <w:t>watersheds at the Hydrologic Unit Code (HUC) “</w:t>
      </w:r>
      <w:r w:rsidR="00680C31">
        <w:rPr>
          <w:rFonts w:ascii="Palatino Linotype" w:hAnsi="Palatino Linotype" w:cs="Helv"/>
          <w:color w:val="000000"/>
        </w:rPr>
        <w:t>four</w:t>
      </w:r>
      <w:r w:rsidRPr="008D10F5">
        <w:rPr>
          <w:rFonts w:ascii="Palatino Linotype" w:hAnsi="Palatino Linotype" w:cs="Helv"/>
          <w:color w:val="000000"/>
        </w:rPr>
        <w:t>-digit” scale</w:t>
      </w:r>
      <w:r w:rsidR="009F01D7" w:rsidRPr="008D10F5">
        <w:rPr>
          <w:rFonts w:ascii="Palatino Linotype" w:hAnsi="Palatino Linotype" w:cs="Helv"/>
          <w:color w:val="000000"/>
        </w:rPr>
        <w:t>.</w:t>
      </w:r>
      <w:r w:rsidRPr="008D10F5">
        <w:rPr>
          <w:rFonts w:ascii="Palatino Linotype" w:hAnsi="Palatino Linotype" w:cs="Helv"/>
          <w:color w:val="000000"/>
        </w:rPr>
        <w:t xml:space="preserve"> The last </w:t>
      </w:r>
      <w:r w:rsidR="001C5172">
        <w:rPr>
          <w:rFonts w:ascii="Palatino Linotype" w:hAnsi="Palatino Linotype" w:cs="Helv"/>
          <w:color w:val="000000"/>
        </w:rPr>
        <w:t xml:space="preserve">national </w:t>
      </w:r>
      <w:r w:rsidRPr="008D10F5">
        <w:rPr>
          <w:rFonts w:ascii="Palatino Linotype" w:hAnsi="Palatino Linotype" w:cs="Helv"/>
          <w:color w:val="000000"/>
        </w:rPr>
        <w:t>reports on this information were conducted</w:t>
      </w:r>
      <w:r w:rsidR="001C5172">
        <w:rPr>
          <w:rFonts w:ascii="Palatino Linotype" w:hAnsi="Palatino Linotype" w:cs="Helv"/>
          <w:color w:val="000000"/>
        </w:rPr>
        <w:t xml:space="preserve"> for water years 1972-1983 and published</w:t>
      </w:r>
      <w:r w:rsidRPr="008D10F5">
        <w:rPr>
          <w:rFonts w:ascii="Palatino Linotype" w:hAnsi="Palatino Linotype" w:cs="Helv"/>
          <w:color w:val="000000"/>
        </w:rPr>
        <w:t xml:space="preserve"> in the late 1980’s (</w:t>
      </w:r>
      <w:proofErr w:type="spellStart"/>
      <w:r w:rsidRPr="008D10F5">
        <w:rPr>
          <w:rFonts w:ascii="Palatino Linotype" w:hAnsi="Palatino Linotype" w:cs="Helv"/>
          <w:color w:val="000000"/>
        </w:rPr>
        <w:t>Petsche</w:t>
      </w:r>
      <w:proofErr w:type="spellEnd"/>
      <w:r w:rsidRPr="008D10F5">
        <w:rPr>
          <w:rFonts w:ascii="Palatino Linotype" w:hAnsi="Palatino Linotype" w:cs="Helv"/>
          <w:color w:val="000000"/>
        </w:rPr>
        <w:t xml:space="preserve">, 1985; </w:t>
      </w:r>
      <w:proofErr w:type="spellStart"/>
      <w:r w:rsidRPr="008D10F5">
        <w:rPr>
          <w:rFonts w:ascii="Palatino Linotype" w:hAnsi="Palatino Linotype" w:cs="Helv"/>
          <w:color w:val="000000"/>
        </w:rPr>
        <w:t>Mooty</w:t>
      </w:r>
      <w:proofErr w:type="spellEnd"/>
      <w:r w:rsidRPr="008D10F5">
        <w:rPr>
          <w:rFonts w:ascii="Palatino Linotype" w:hAnsi="Palatino Linotype" w:cs="Helv"/>
          <w:color w:val="000000"/>
        </w:rPr>
        <w:t xml:space="preserve"> and </w:t>
      </w:r>
      <w:proofErr w:type="spellStart"/>
      <w:r w:rsidRPr="008D10F5">
        <w:rPr>
          <w:rFonts w:ascii="Palatino Linotype" w:hAnsi="Palatino Linotype" w:cs="Helv"/>
          <w:color w:val="000000"/>
        </w:rPr>
        <w:t>Jeffcoat</w:t>
      </w:r>
      <w:proofErr w:type="spellEnd"/>
      <w:r w:rsidRPr="008D10F5">
        <w:rPr>
          <w:rFonts w:ascii="Palatino Linotype" w:hAnsi="Palatino Linotype" w:cs="Helv"/>
          <w:color w:val="000000"/>
        </w:rPr>
        <w:t>, 1986). The USGS will, as part of the CRB</w:t>
      </w:r>
      <w:r w:rsidR="005B14FE">
        <w:rPr>
          <w:rFonts w:ascii="Palatino Linotype" w:hAnsi="Palatino Linotype" w:cs="Helv"/>
          <w:color w:val="000000"/>
        </w:rPr>
        <w:t>FAS</w:t>
      </w:r>
      <w:r w:rsidRPr="008D10F5">
        <w:rPr>
          <w:rFonts w:ascii="Palatino Linotype" w:hAnsi="Palatino Linotype" w:cs="Helv"/>
          <w:color w:val="000000"/>
        </w:rPr>
        <w:t xml:space="preserve">, map and maintain a database of </w:t>
      </w:r>
      <w:proofErr w:type="spellStart"/>
      <w:r w:rsidRPr="008D10F5">
        <w:rPr>
          <w:rFonts w:ascii="Palatino Linotype" w:hAnsi="Palatino Linotype" w:cs="Helv"/>
          <w:color w:val="000000"/>
        </w:rPr>
        <w:t>interbasin</w:t>
      </w:r>
      <w:proofErr w:type="spellEnd"/>
      <w:r w:rsidRPr="008D10F5">
        <w:rPr>
          <w:rFonts w:ascii="Palatino Linotype" w:hAnsi="Palatino Linotype" w:cs="Helv"/>
          <w:color w:val="000000"/>
        </w:rPr>
        <w:t xml:space="preserve"> water transfers that are greater than 100,000 gallons per day</w:t>
      </w:r>
      <w:r w:rsidR="001C5172">
        <w:rPr>
          <w:rFonts w:ascii="Palatino Linotype" w:hAnsi="Palatino Linotype" w:cs="Helv"/>
          <w:color w:val="000000"/>
        </w:rPr>
        <w:t xml:space="preserve"> (112 acre-ft/year)</w:t>
      </w:r>
      <w:r w:rsidRPr="008D10F5">
        <w:rPr>
          <w:rFonts w:ascii="Palatino Linotype" w:hAnsi="Palatino Linotype" w:cs="Helv"/>
          <w:color w:val="000000"/>
        </w:rPr>
        <w:t xml:space="preserve">, </w:t>
      </w:r>
      <w:r w:rsidR="005B14FE">
        <w:rPr>
          <w:rFonts w:ascii="Palatino Linotype" w:hAnsi="Palatino Linotype" w:cs="Helv"/>
          <w:color w:val="000000"/>
        </w:rPr>
        <w:t>for select water-use sectors (</w:t>
      </w:r>
      <w:r w:rsidR="001C5172">
        <w:rPr>
          <w:rFonts w:ascii="Palatino Linotype" w:hAnsi="Palatino Linotype" w:cs="Helv"/>
          <w:color w:val="000000"/>
        </w:rPr>
        <w:t xml:space="preserve">primarily irrigation, </w:t>
      </w:r>
      <w:r w:rsidR="005B14FE">
        <w:rPr>
          <w:rFonts w:ascii="Palatino Linotype" w:hAnsi="Palatino Linotype" w:cs="Helv"/>
          <w:color w:val="000000"/>
        </w:rPr>
        <w:t>public supply</w:t>
      </w:r>
      <w:r w:rsidR="001C5172">
        <w:rPr>
          <w:rFonts w:ascii="Palatino Linotype" w:hAnsi="Palatino Linotype" w:cs="Helv"/>
          <w:color w:val="000000"/>
        </w:rPr>
        <w:t xml:space="preserve"> and mining</w:t>
      </w:r>
      <w:r w:rsidR="005B14FE">
        <w:rPr>
          <w:rFonts w:ascii="Palatino Linotype" w:hAnsi="Palatino Linotype" w:cs="Helv"/>
          <w:color w:val="000000"/>
        </w:rPr>
        <w:t xml:space="preserve">) </w:t>
      </w:r>
      <w:r w:rsidRPr="008D10F5">
        <w:rPr>
          <w:rFonts w:ascii="Palatino Linotype" w:hAnsi="Palatino Linotype" w:cs="Helv"/>
          <w:color w:val="000000"/>
        </w:rPr>
        <w:t>at the HUC eight-digit scale for selected watersheds</w:t>
      </w:r>
      <w:r w:rsidR="005B14FE">
        <w:rPr>
          <w:rFonts w:ascii="Palatino Linotype" w:hAnsi="Palatino Linotype" w:cs="Helv"/>
          <w:color w:val="000000"/>
        </w:rPr>
        <w:t xml:space="preserve"> </w:t>
      </w:r>
      <w:r w:rsidR="001C5172">
        <w:rPr>
          <w:rFonts w:ascii="Palatino Linotype" w:hAnsi="Palatino Linotype" w:cs="Helv"/>
          <w:color w:val="000000"/>
        </w:rPr>
        <w:t>during calendar year</w:t>
      </w:r>
      <w:r w:rsidR="005B14FE">
        <w:rPr>
          <w:rFonts w:ascii="Palatino Linotype" w:hAnsi="Palatino Linotype" w:cs="Helv"/>
          <w:color w:val="000000"/>
        </w:rPr>
        <w:t xml:space="preserve"> 2010</w:t>
      </w:r>
      <w:r w:rsidRPr="008D10F5">
        <w:rPr>
          <w:rFonts w:ascii="Palatino Linotype" w:hAnsi="Palatino Linotype" w:cs="Helv"/>
          <w:color w:val="000000"/>
        </w:rPr>
        <w:t>. The</w:t>
      </w:r>
      <w:r w:rsidR="005B14FE">
        <w:rPr>
          <w:rFonts w:ascii="Palatino Linotype" w:hAnsi="Palatino Linotype" w:cs="Helv"/>
          <w:color w:val="000000"/>
        </w:rPr>
        <w:t xml:space="preserve"> internal-use</w:t>
      </w:r>
      <w:r w:rsidRPr="008D10F5">
        <w:rPr>
          <w:rFonts w:ascii="Palatino Linotype" w:hAnsi="Palatino Linotype" w:cs="Helv"/>
          <w:color w:val="000000"/>
        </w:rPr>
        <w:t xml:space="preserve"> database will contain location information on the withdrawal points and</w:t>
      </w:r>
      <w:r w:rsidR="005B14FE">
        <w:rPr>
          <w:rFonts w:ascii="Palatino Linotype" w:hAnsi="Palatino Linotype" w:cs="Helv"/>
          <w:color w:val="000000"/>
        </w:rPr>
        <w:t xml:space="preserve"> annual summaries</w:t>
      </w:r>
      <w:r w:rsidR="001C5172">
        <w:rPr>
          <w:rFonts w:ascii="Palatino Linotype" w:hAnsi="Palatino Linotype" w:cs="Helv"/>
          <w:color w:val="000000"/>
        </w:rPr>
        <w:t xml:space="preserve"> of transfers.</w:t>
      </w: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p>
    <w:p w:rsidR="00472B88" w:rsidRPr="008D10F5" w:rsidRDefault="00472B88" w:rsidP="0047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alatino Linotype" w:hAnsi="Palatino Linotype" w:cs="Helv"/>
          <w:color w:val="000000"/>
        </w:rPr>
      </w:pPr>
      <w:r w:rsidRPr="008D10F5">
        <w:rPr>
          <w:rFonts w:ascii="Palatino Linotype" w:hAnsi="Palatino Linotype" w:cs="Helv"/>
          <w:color w:val="000000"/>
        </w:rPr>
        <w:t xml:space="preserve">Although water-use information has its own inherent value, its real power comes with the ability to integrate water-use information with natural flows in the environment to assess the influence on one to the other. This integration also would help illuminate </w:t>
      </w:r>
      <w:r w:rsidR="009F01D7" w:rsidRPr="008D10F5">
        <w:rPr>
          <w:rFonts w:ascii="Palatino Linotype" w:hAnsi="Palatino Linotype" w:cs="Helv"/>
          <w:color w:val="000000"/>
        </w:rPr>
        <w:t xml:space="preserve">locations </w:t>
      </w:r>
      <w:r w:rsidRPr="008D10F5">
        <w:rPr>
          <w:rFonts w:ascii="Palatino Linotype" w:hAnsi="Palatino Linotype" w:cs="Helv"/>
          <w:color w:val="000000"/>
        </w:rPr>
        <w:t>where water-supply stress is the greatest and help focus informed water-management efforts. Within the Water Census it is our goal to accomplish this integration. It is our long-term objective to serve estimated water-use information, on a monthly</w:t>
      </w:r>
      <w:r w:rsidR="001E721F">
        <w:rPr>
          <w:rFonts w:ascii="Palatino Linotype" w:hAnsi="Palatino Linotype" w:cs="Helv"/>
          <w:color w:val="000000"/>
        </w:rPr>
        <w:t xml:space="preserve"> basis if the data are available, otherwise</w:t>
      </w:r>
      <w:r w:rsidRPr="008D10F5">
        <w:rPr>
          <w:rFonts w:ascii="Palatino Linotype" w:hAnsi="Palatino Linotype" w:cs="Helv"/>
          <w:color w:val="000000"/>
        </w:rPr>
        <w:t xml:space="preserve"> </w:t>
      </w:r>
      <w:r w:rsidR="00D23CB5">
        <w:rPr>
          <w:rFonts w:ascii="Palatino Linotype" w:hAnsi="Palatino Linotype" w:cs="Helv"/>
          <w:color w:val="000000"/>
        </w:rPr>
        <w:t>annual or seasonal</w:t>
      </w:r>
      <w:r w:rsidR="00D23CB5" w:rsidRPr="008D10F5">
        <w:rPr>
          <w:rFonts w:ascii="Palatino Linotype" w:hAnsi="Palatino Linotype" w:cs="Helv"/>
          <w:color w:val="000000"/>
        </w:rPr>
        <w:t xml:space="preserve"> </w:t>
      </w:r>
      <w:r w:rsidR="001E721F">
        <w:rPr>
          <w:rFonts w:ascii="Palatino Linotype" w:hAnsi="Palatino Linotype" w:cs="Helv"/>
          <w:color w:val="000000"/>
        </w:rPr>
        <w:t>summaries will be provided</w:t>
      </w:r>
      <w:r w:rsidRPr="008D10F5">
        <w:rPr>
          <w:rFonts w:ascii="Palatino Linotype" w:hAnsi="Palatino Linotype" w:cs="Helv"/>
          <w:color w:val="000000"/>
        </w:rPr>
        <w:t xml:space="preserve"> along with our other hydrologic indicators. It is also our objective to serve this information so that it can be accurately located geospatially and incorporated in the water-budget analysis. </w:t>
      </w:r>
      <w:r w:rsidR="001E721F">
        <w:rPr>
          <w:rFonts w:ascii="Palatino Linotype" w:hAnsi="Palatino Linotype" w:cs="Helv"/>
          <w:color w:val="000000"/>
        </w:rPr>
        <w:t>C</w:t>
      </w:r>
      <w:r w:rsidRPr="008D10F5">
        <w:rPr>
          <w:rFonts w:ascii="Palatino Linotype" w:hAnsi="Palatino Linotype" w:cs="Helv"/>
          <w:color w:val="000000"/>
        </w:rPr>
        <w:t xml:space="preserve">onsumptive-use information for irrigation, </w:t>
      </w:r>
      <w:r w:rsidR="001E721F">
        <w:rPr>
          <w:rFonts w:ascii="Palatino Linotype" w:hAnsi="Palatino Linotype" w:cs="Helv"/>
          <w:color w:val="000000"/>
        </w:rPr>
        <w:t xml:space="preserve">produced as </w:t>
      </w:r>
      <w:r w:rsidR="00D23CB5">
        <w:rPr>
          <w:rFonts w:ascii="Palatino Linotype" w:hAnsi="Palatino Linotype" w:cs="Helv"/>
          <w:color w:val="000000"/>
        </w:rPr>
        <w:t>seasonal or annual</w:t>
      </w:r>
      <w:r w:rsidR="00D23CB5" w:rsidRPr="008D10F5">
        <w:rPr>
          <w:rFonts w:ascii="Palatino Linotype" w:hAnsi="Palatino Linotype" w:cs="Helv"/>
          <w:color w:val="000000"/>
        </w:rPr>
        <w:t xml:space="preserve"> </w:t>
      </w:r>
      <w:r w:rsidRPr="008D10F5">
        <w:rPr>
          <w:rFonts w:ascii="Palatino Linotype" w:hAnsi="Palatino Linotype" w:cs="Helv"/>
          <w:color w:val="000000"/>
        </w:rPr>
        <w:t xml:space="preserve">estimates is </w:t>
      </w:r>
      <w:r w:rsidR="00D23CB5">
        <w:rPr>
          <w:rFonts w:ascii="Palatino Linotype" w:hAnsi="Palatino Linotype" w:cs="Helv"/>
          <w:color w:val="000000"/>
        </w:rPr>
        <w:t xml:space="preserve">achievable. </w:t>
      </w:r>
      <w:r w:rsidRPr="008D10F5">
        <w:rPr>
          <w:rFonts w:ascii="Palatino Linotype" w:hAnsi="Palatino Linotype" w:cs="Helv"/>
          <w:color w:val="000000"/>
        </w:rPr>
        <w:t xml:space="preserve">The final objective is to provide estimated </w:t>
      </w:r>
      <w:r w:rsidRPr="008D10F5">
        <w:rPr>
          <w:rFonts w:ascii="Palatino Linotype" w:hAnsi="Palatino Linotype" w:cs="Helv"/>
          <w:color w:val="000000"/>
        </w:rPr>
        <w:lastRenderedPageBreak/>
        <w:t xml:space="preserve">water-use data that can be incorporated into a water-budget analysis. This process is currently being piloted in the USGS </w:t>
      </w:r>
      <w:proofErr w:type="spellStart"/>
      <w:r w:rsidRPr="008D10F5">
        <w:rPr>
          <w:rFonts w:ascii="Palatino Linotype" w:hAnsi="Palatino Linotype" w:cs="Helv"/>
          <w:color w:val="000000"/>
        </w:rPr>
        <w:t>StreamStats</w:t>
      </w:r>
      <w:proofErr w:type="spellEnd"/>
      <w:r w:rsidRPr="008D10F5">
        <w:rPr>
          <w:rFonts w:ascii="Palatino Linotype" w:hAnsi="Palatino Linotype" w:cs="Helv"/>
          <w:color w:val="000000"/>
        </w:rPr>
        <w:t xml:space="preserve"> application. </w:t>
      </w:r>
    </w:p>
    <w:p w:rsidR="0025285F" w:rsidRPr="008D10F5" w:rsidRDefault="0025285F" w:rsidP="00E10360">
      <w:pPr>
        <w:rPr>
          <w:rFonts w:ascii="Palatino Linotype" w:hAnsi="Palatino Linotype"/>
        </w:rPr>
      </w:pPr>
    </w:p>
    <w:p w:rsidR="00EE4D88" w:rsidRPr="008D10F5" w:rsidRDefault="00EE4D88" w:rsidP="00EE4D88">
      <w:pPr>
        <w:pStyle w:val="Heading1"/>
        <w:rPr>
          <w:rFonts w:cs="Arial"/>
          <w:szCs w:val="28"/>
        </w:rPr>
      </w:pPr>
      <w:r w:rsidRPr="008D10F5">
        <w:rPr>
          <w:rFonts w:cs="Arial"/>
          <w:szCs w:val="28"/>
        </w:rPr>
        <w:t xml:space="preserve">Benefits and Relevance </w:t>
      </w:r>
    </w:p>
    <w:p w:rsidR="00EE4D88" w:rsidRPr="008D10F5" w:rsidRDefault="00EE4D88" w:rsidP="00F62AAD">
      <w:pPr>
        <w:pStyle w:val="BodyText"/>
        <w:ind w:firstLine="0"/>
        <w:rPr>
          <w:rFonts w:ascii="Palatino Linotype" w:hAnsi="Palatino Linotype"/>
        </w:rPr>
      </w:pPr>
      <w:r w:rsidRPr="008D10F5">
        <w:rPr>
          <w:rFonts w:ascii="Palatino Linotype" w:hAnsi="Palatino Linotype"/>
        </w:rPr>
        <w:t xml:space="preserve">This project meets the USGS </w:t>
      </w:r>
      <w:proofErr w:type="spellStart"/>
      <w:r w:rsidRPr="008D10F5">
        <w:rPr>
          <w:rFonts w:ascii="Palatino Linotype" w:hAnsi="Palatino Linotype"/>
        </w:rPr>
        <w:t>WaterSMART</w:t>
      </w:r>
      <w:proofErr w:type="spellEnd"/>
      <w:r w:rsidRPr="008D10F5">
        <w:rPr>
          <w:rFonts w:ascii="Palatino Linotype" w:hAnsi="Palatino Linotype"/>
        </w:rPr>
        <w:t xml:space="preserve"> Focus Area goals of </w:t>
      </w:r>
    </w:p>
    <w:p w:rsidR="00EE4D88" w:rsidRPr="008D10F5" w:rsidRDefault="00EE4D88" w:rsidP="008D10F5">
      <w:pPr>
        <w:pStyle w:val="BodyText"/>
        <w:ind w:left="360" w:hanging="360"/>
        <w:rPr>
          <w:rFonts w:ascii="Palatino Linotype" w:hAnsi="Palatino Linotype"/>
        </w:rPr>
      </w:pPr>
      <w:r w:rsidRPr="008D10F5">
        <w:rPr>
          <w:rFonts w:ascii="Palatino Linotype" w:hAnsi="Palatino Linotype"/>
        </w:rPr>
        <w:t xml:space="preserve">1)  </w:t>
      </w:r>
      <w:r w:rsidR="002544F9" w:rsidRPr="008D10F5">
        <w:rPr>
          <w:rFonts w:ascii="Palatino Linotype" w:hAnsi="Palatino Linotype"/>
        </w:rPr>
        <w:t>Gaining a greater understanding for how humans use water to meet their demands and how those demands impact ecological needs based on the natural flows and the environment, especially with respect to inter-basin transfers, and seasonal water deficits.</w:t>
      </w:r>
    </w:p>
    <w:p w:rsidR="00EE4D88" w:rsidRPr="008D10F5" w:rsidRDefault="00EE4D88" w:rsidP="008D10F5">
      <w:pPr>
        <w:pStyle w:val="BodyText"/>
        <w:ind w:left="360" w:hanging="360"/>
        <w:rPr>
          <w:rFonts w:ascii="Palatino Linotype" w:hAnsi="Palatino Linotype"/>
        </w:rPr>
      </w:pPr>
      <w:r w:rsidRPr="008D10F5">
        <w:rPr>
          <w:rFonts w:ascii="Palatino Linotype" w:hAnsi="Palatino Linotype"/>
        </w:rPr>
        <w:t xml:space="preserve">2)  </w:t>
      </w:r>
      <w:r w:rsidR="002544F9" w:rsidRPr="008D10F5">
        <w:rPr>
          <w:rFonts w:ascii="Palatino Linotype" w:hAnsi="Palatino Linotype"/>
        </w:rPr>
        <w:t xml:space="preserve">Integrate data from various sources, both within and outside Federal entities, to a central database or data portal location whereby </w:t>
      </w:r>
      <w:r w:rsidR="00F0056A" w:rsidRPr="008D10F5">
        <w:rPr>
          <w:rFonts w:ascii="Palatino Linotype" w:hAnsi="Palatino Linotype"/>
        </w:rPr>
        <w:t xml:space="preserve">users </w:t>
      </w:r>
      <w:r w:rsidR="002544F9" w:rsidRPr="008D10F5">
        <w:rPr>
          <w:rFonts w:ascii="Palatino Linotype" w:hAnsi="Palatino Linotype"/>
        </w:rPr>
        <w:t>can easily access information. Use existing and new methods and data to explain water-use activities, such as mapping points of diversion on national geospatial datasets, integrate remote sensing and new energy balance methods to extrapolate ET</w:t>
      </w:r>
      <w:r w:rsidR="00F0056A" w:rsidRPr="008D10F5">
        <w:rPr>
          <w:rFonts w:ascii="Palatino Linotype" w:hAnsi="Palatino Linotype"/>
        </w:rPr>
        <w:t xml:space="preserve"> and consumptive use</w:t>
      </w:r>
      <w:r w:rsidR="002544F9" w:rsidRPr="008D10F5">
        <w:rPr>
          <w:rFonts w:ascii="Palatino Linotype" w:hAnsi="Palatino Linotype"/>
        </w:rPr>
        <w:t>, and integrate the data to form as complete water budget as possible.</w:t>
      </w:r>
    </w:p>
    <w:p w:rsidR="00C913EB" w:rsidRPr="00E529ED" w:rsidRDefault="00C913EB" w:rsidP="00E529ED">
      <w:pPr>
        <w:pStyle w:val="Heading1"/>
      </w:pPr>
      <w:r w:rsidRPr="00E529ED">
        <w:t>Objectives</w:t>
      </w:r>
    </w:p>
    <w:p w:rsidR="008D10F5" w:rsidRDefault="002D5425" w:rsidP="002D5425">
      <w:pPr>
        <w:pStyle w:val="BodyText"/>
        <w:rPr>
          <w:rFonts w:ascii="Palatino Linotype" w:hAnsi="Palatino Linotype"/>
        </w:rPr>
      </w:pPr>
      <w:r w:rsidRPr="008D10F5">
        <w:rPr>
          <w:rFonts w:ascii="Palatino Linotype" w:hAnsi="Palatino Linotype"/>
        </w:rPr>
        <w:t xml:space="preserve">Objectives </w:t>
      </w:r>
      <w:r w:rsidR="009646F6" w:rsidRPr="008D10F5">
        <w:rPr>
          <w:rFonts w:ascii="Palatino Linotype" w:hAnsi="Palatino Linotype"/>
        </w:rPr>
        <w:t>of the</w:t>
      </w:r>
      <w:r w:rsidR="003A7032" w:rsidRPr="008D10F5">
        <w:rPr>
          <w:rFonts w:ascii="Palatino Linotype" w:hAnsi="Palatino Linotype"/>
        </w:rPr>
        <w:t xml:space="preserve"> Water-Use Component of the</w:t>
      </w:r>
      <w:r w:rsidR="009646F6" w:rsidRPr="008D10F5">
        <w:rPr>
          <w:rFonts w:ascii="Palatino Linotype" w:hAnsi="Palatino Linotype"/>
        </w:rPr>
        <w:t xml:space="preserve"> </w:t>
      </w:r>
      <w:proofErr w:type="spellStart"/>
      <w:r w:rsidR="009646F6" w:rsidRPr="008D10F5">
        <w:rPr>
          <w:rFonts w:ascii="Palatino Linotype" w:hAnsi="Palatino Linotype"/>
        </w:rPr>
        <w:t>WaterSMART</w:t>
      </w:r>
      <w:proofErr w:type="spellEnd"/>
      <w:r w:rsidR="009646F6" w:rsidRPr="008D10F5">
        <w:rPr>
          <w:rFonts w:ascii="Palatino Linotype" w:hAnsi="Palatino Linotype"/>
        </w:rPr>
        <w:t xml:space="preserve"> C</w:t>
      </w:r>
      <w:r w:rsidR="00D23CB5">
        <w:rPr>
          <w:rFonts w:ascii="Palatino Linotype" w:hAnsi="Palatino Linotype"/>
        </w:rPr>
        <w:t xml:space="preserve">RBFAS </w:t>
      </w:r>
      <w:r w:rsidRPr="008D10F5">
        <w:rPr>
          <w:rFonts w:ascii="Palatino Linotype" w:hAnsi="Palatino Linotype"/>
        </w:rPr>
        <w:t>are</w:t>
      </w:r>
      <w:r w:rsidR="003A7032" w:rsidRPr="008D10F5">
        <w:rPr>
          <w:rFonts w:ascii="Palatino Linotype" w:hAnsi="Palatino Linotype"/>
        </w:rPr>
        <w:t xml:space="preserve">: </w:t>
      </w:r>
    </w:p>
    <w:p w:rsidR="008D10F5" w:rsidRDefault="002D5425" w:rsidP="008D10F5">
      <w:pPr>
        <w:pStyle w:val="BodyText"/>
        <w:numPr>
          <w:ilvl w:val="0"/>
          <w:numId w:val="21"/>
        </w:numPr>
        <w:rPr>
          <w:rFonts w:ascii="Palatino Linotype" w:hAnsi="Palatino Linotype"/>
        </w:rPr>
      </w:pPr>
      <w:r w:rsidRPr="008D10F5">
        <w:rPr>
          <w:rFonts w:ascii="Palatino Linotype" w:hAnsi="Palatino Linotype"/>
          <w:b/>
        </w:rPr>
        <w:t xml:space="preserve">to improve </w:t>
      </w:r>
      <w:r w:rsidR="00512AF9" w:rsidRPr="008D10F5">
        <w:rPr>
          <w:rFonts w:ascii="Palatino Linotype" w:hAnsi="Palatino Linotype"/>
          <w:b/>
        </w:rPr>
        <w:t>regional databases</w:t>
      </w:r>
      <w:r w:rsidRPr="008D10F5">
        <w:rPr>
          <w:rFonts w:ascii="Palatino Linotype" w:hAnsi="Palatino Linotype"/>
          <w:b/>
        </w:rPr>
        <w:t xml:space="preserve"> of water-use information </w:t>
      </w:r>
      <w:r w:rsidRPr="008D10F5">
        <w:rPr>
          <w:rFonts w:ascii="Palatino Linotype" w:hAnsi="Palatino Linotype"/>
        </w:rPr>
        <w:t>for the largest types of water uses such as irrigation, public supply, mining, industrial and thermoelectric power generation, a</w:t>
      </w:r>
      <w:r w:rsidR="00D23CB5">
        <w:rPr>
          <w:rFonts w:ascii="Palatino Linotype" w:hAnsi="Palatino Linotype"/>
        </w:rPr>
        <w:t>nd t</w:t>
      </w:r>
      <w:r w:rsidR="001E721F">
        <w:rPr>
          <w:rFonts w:ascii="Palatino Linotype" w:hAnsi="Palatino Linotype"/>
        </w:rPr>
        <w:t>o t</w:t>
      </w:r>
      <w:r w:rsidR="00D23CB5">
        <w:rPr>
          <w:rFonts w:ascii="Palatino Linotype" w:hAnsi="Palatino Linotype"/>
        </w:rPr>
        <w:t>he extent possible</w:t>
      </w:r>
      <w:r w:rsidR="001E721F">
        <w:rPr>
          <w:rFonts w:ascii="Palatino Linotype" w:hAnsi="Palatino Linotype"/>
        </w:rPr>
        <w:t xml:space="preserve"> as data are available</w:t>
      </w:r>
      <w:r w:rsidR="00D23CB5">
        <w:rPr>
          <w:rFonts w:ascii="Palatino Linotype" w:hAnsi="Palatino Linotype"/>
        </w:rPr>
        <w:t>,</w:t>
      </w:r>
      <w:r w:rsidRPr="008D10F5">
        <w:rPr>
          <w:rFonts w:ascii="Palatino Linotype" w:hAnsi="Palatino Linotype"/>
        </w:rPr>
        <w:t xml:space="preserve"> for the lesser </w:t>
      </w:r>
      <w:r w:rsidR="00D23CB5">
        <w:rPr>
          <w:rFonts w:ascii="Palatino Linotype" w:hAnsi="Palatino Linotype"/>
        </w:rPr>
        <w:t>sectors</w:t>
      </w:r>
      <w:r w:rsidR="00D23CB5" w:rsidRPr="008D10F5">
        <w:rPr>
          <w:rFonts w:ascii="Palatino Linotype" w:hAnsi="Palatino Linotype"/>
        </w:rPr>
        <w:t xml:space="preserve"> </w:t>
      </w:r>
      <w:r w:rsidRPr="008D10F5">
        <w:rPr>
          <w:rFonts w:ascii="Palatino Linotype" w:hAnsi="Palatino Linotype"/>
        </w:rPr>
        <w:t xml:space="preserve">of uses </w:t>
      </w:r>
      <w:r w:rsidR="001E721F">
        <w:rPr>
          <w:rFonts w:ascii="Palatino Linotype" w:hAnsi="Palatino Linotype"/>
        </w:rPr>
        <w:t>of</w:t>
      </w:r>
      <w:r w:rsidRPr="008D10F5">
        <w:rPr>
          <w:rFonts w:ascii="Palatino Linotype" w:hAnsi="Palatino Linotype"/>
        </w:rPr>
        <w:t xml:space="preserve"> commercial, livestock and aquaculture</w:t>
      </w:r>
      <w:r w:rsidR="003A7032" w:rsidRPr="008D10F5">
        <w:rPr>
          <w:rFonts w:ascii="Palatino Linotype" w:hAnsi="Palatino Linotype"/>
        </w:rPr>
        <w:t xml:space="preserve">; </w:t>
      </w:r>
    </w:p>
    <w:p w:rsidR="008D10F5" w:rsidRDefault="003A7032" w:rsidP="008D10F5">
      <w:pPr>
        <w:pStyle w:val="BodyText"/>
        <w:numPr>
          <w:ilvl w:val="0"/>
          <w:numId w:val="21"/>
        </w:numPr>
        <w:rPr>
          <w:rFonts w:ascii="Palatino Linotype" w:hAnsi="Palatino Linotype"/>
        </w:rPr>
      </w:pPr>
      <w:proofErr w:type="gramStart"/>
      <w:r w:rsidRPr="008D10F5">
        <w:rPr>
          <w:rFonts w:ascii="Palatino Linotype" w:hAnsi="Palatino Linotype"/>
        </w:rPr>
        <w:t>to</w:t>
      </w:r>
      <w:proofErr w:type="gramEnd"/>
      <w:r w:rsidRPr="008D10F5">
        <w:rPr>
          <w:rFonts w:ascii="Palatino Linotype" w:hAnsi="Palatino Linotype"/>
        </w:rPr>
        <w:t xml:space="preserve"> </w:t>
      </w:r>
      <w:r w:rsidRPr="008D10F5">
        <w:rPr>
          <w:rFonts w:ascii="Palatino Linotype" w:hAnsi="Palatino Linotype"/>
          <w:b/>
        </w:rPr>
        <w:t xml:space="preserve">integrate this information with our understanding of natural flows </w:t>
      </w:r>
      <w:r w:rsidRPr="008D10F5">
        <w:rPr>
          <w:rFonts w:ascii="Palatino Linotype" w:hAnsi="Palatino Linotype"/>
        </w:rPr>
        <w:t xml:space="preserve">in the environment and </w:t>
      </w:r>
      <w:r w:rsidR="0024670C" w:rsidRPr="008D10F5">
        <w:rPr>
          <w:rFonts w:ascii="Palatino Linotype" w:hAnsi="Palatino Linotype"/>
        </w:rPr>
        <w:t>evaluate</w:t>
      </w:r>
      <w:r w:rsidR="002D5425" w:rsidRPr="008D10F5">
        <w:rPr>
          <w:rFonts w:ascii="Palatino Linotype" w:hAnsi="Palatino Linotype"/>
        </w:rPr>
        <w:t xml:space="preserve"> how water resources and ecosystems are impacted by man’s manipulation of those resource</w:t>
      </w:r>
      <w:r w:rsidRPr="008D10F5">
        <w:rPr>
          <w:rFonts w:ascii="Palatino Linotype" w:hAnsi="Palatino Linotype"/>
        </w:rPr>
        <w:t>s. This integration requires that we understand the sources from which water is withdrawn, the demand that the water is used to satisfy, the distribution and transport mechanism of water to the demand location, the amount of water “consumed” during use</w:t>
      </w:r>
      <w:r w:rsidR="00D23CB5">
        <w:rPr>
          <w:rFonts w:ascii="Palatino Linotype" w:hAnsi="Palatino Linotype"/>
        </w:rPr>
        <w:t xml:space="preserve"> or transport</w:t>
      </w:r>
      <w:r w:rsidRPr="008D10F5">
        <w:rPr>
          <w:rFonts w:ascii="Palatino Linotype" w:hAnsi="Palatino Linotype"/>
        </w:rPr>
        <w:t xml:space="preserve">, and </w:t>
      </w:r>
      <w:r w:rsidR="00D23CB5">
        <w:rPr>
          <w:rFonts w:ascii="Palatino Linotype" w:hAnsi="Palatino Linotype"/>
        </w:rPr>
        <w:t xml:space="preserve">to the extent possible, </w:t>
      </w:r>
      <w:r w:rsidRPr="008D10F5">
        <w:rPr>
          <w:rFonts w:ascii="Palatino Linotype" w:hAnsi="Palatino Linotype"/>
        </w:rPr>
        <w:t xml:space="preserve">the location and volume of return flows to the environment, </w:t>
      </w:r>
    </w:p>
    <w:p w:rsidR="008D10F5" w:rsidRDefault="002D5425" w:rsidP="008D10F5">
      <w:pPr>
        <w:pStyle w:val="BodyText"/>
        <w:numPr>
          <w:ilvl w:val="0"/>
          <w:numId w:val="21"/>
        </w:numPr>
        <w:rPr>
          <w:rFonts w:ascii="Palatino Linotype" w:hAnsi="Palatino Linotype"/>
        </w:rPr>
      </w:pPr>
      <w:r w:rsidRPr="008D10F5">
        <w:rPr>
          <w:rFonts w:ascii="Palatino Linotype" w:hAnsi="Palatino Linotype"/>
        </w:rPr>
        <w:t xml:space="preserve">to </w:t>
      </w:r>
      <w:r w:rsidR="0024670C" w:rsidRPr="008D10F5">
        <w:rPr>
          <w:rFonts w:ascii="Palatino Linotype" w:hAnsi="Palatino Linotype"/>
          <w:b/>
        </w:rPr>
        <w:t xml:space="preserve">advance </w:t>
      </w:r>
      <w:r w:rsidR="00D27F13" w:rsidRPr="008D10F5">
        <w:rPr>
          <w:rFonts w:ascii="Palatino Linotype" w:hAnsi="Palatino Linotype"/>
          <w:b/>
        </w:rPr>
        <w:t xml:space="preserve">the use of </w:t>
      </w:r>
      <w:r w:rsidR="00512AF9" w:rsidRPr="008D10F5">
        <w:rPr>
          <w:rFonts w:ascii="Palatino Linotype" w:hAnsi="Palatino Linotype"/>
          <w:b/>
        </w:rPr>
        <w:t>new</w:t>
      </w:r>
      <w:r w:rsidR="00D27F13" w:rsidRPr="008D10F5">
        <w:rPr>
          <w:rFonts w:ascii="Palatino Linotype" w:hAnsi="Palatino Linotype"/>
          <w:b/>
        </w:rPr>
        <w:t xml:space="preserve"> </w:t>
      </w:r>
      <w:r w:rsidR="00512AF9" w:rsidRPr="008D10F5">
        <w:rPr>
          <w:rFonts w:ascii="Palatino Linotype" w:hAnsi="Palatino Linotype"/>
          <w:b/>
        </w:rPr>
        <w:t>technologies</w:t>
      </w:r>
      <w:r w:rsidRPr="008D10F5">
        <w:rPr>
          <w:rFonts w:ascii="Palatino Linotype" w:hAnsi="Palatino Linotype"/>
          <w:b/>
        </w:rPr>
        <w:t xml:space="preserve"> </w:t>
      </w:r>
      <w:r w:rsidRPr="008D10F5">
        <w:rPr>
          <w:rFonts w:ascii="Palatino Linotype" w:hAnsi="Palatino Linotype"/>
        </w:rPr>
        <w:t>and data to achieve the goals of data collection efforts, including the use of satellite data sets, remote sensing technologies and models, geospatial datasets and mapping tools, and web-based</w:t>
      </w:r>
      <w:r w:rsidR="00D27F13" w:rsidRPr="008D10F5">
        <w:rPr>
          <w:rFonts w:ascii="Palatino Linotype" w:hAnsi="Palatino Linotype"/>
        </w:rPr>
        <w:t xml:space="preserve"> statistical tools</w:t>
      </w:r>
      <w:r w:rsidR="003A7032" w:rsidRPr="008D10F5">
        <w:rPr>
          <w:rFonts w:ascii="Palatino Linotype" w:hAnsi="Palatino Linotype"/>
        </w:rPr>
        <w:t xml:space="preserve">; </w:t>
      </w:r>
      <w:r w:rsidR="008D10F5">
        <w:rPr>
          <w:rFonts w:ascii="Palatino Linotype" w:hAnsi="Palatino Linotype"/>
        </w:rPr>
        <w:br/>
      </w:r>
      <w:r w:rsidR="008D10F5">
        <w:rPr>
          <w:rFonts w:ascii="Palatino Linotype" w:hAnsi="Palatino Linotype"/>
        </w:rPr>
        <w:br/>
      </w:r>
      <w:r w:rsidR="003A7032" w:rsidRPr="008D10F5">
        <w:rPr>
          <w:rFonts w:ascii="Palatino Linotype" w:hAnsi="Palatino Linotype"/>
        </w:rPr>
        <w:t xml:space="preserve">and </w:t>
      </w:r>
    </w:p>
    <w:p w:rsidR="00ED63EF" w:rsidRPr="008D10F5" w:rsidRDefault="002D5425" w:rsidP="008D10F5">
      <w:pPr>
        <w:pStyle w:val="BodyText"/>
        <w:numPr>
          <w:ilvl w:val="0"/>
          <w:numId w:val="21"/>
        </w:numPr>
        <w:rPr>
          <w:rFonts w:ascii="Palatino Linotype" w:hAnsi="Palatino Linotype"/>
        </w:rPr>
      </w:pPr>
      <w:proofErr w:type="gramStart"/>
      <w:r w:rsidRPr="008D10F5">
        <w:rPr>
          <w:rFonts w:ascii="Palatino Linotype" w:hAnsi="Palatino Linotype"/>
        </w:rPr>
        <w:lastRenderedPageBreak/>
        <w:t>to</w:t>
      </w:r>
      <w:proofErr w:type="gramEnd"/>
      <w:r w:rsidRPr="008D10F5">
        <w:rPr>
          <w:rFonts w:ascii="Palatino Linotype" w:hAnsi="Palatino Linotype"/>
        </w:rPr>
        <w:t xml:space="preserve"> promote </w:t>
      </w:r>
      <w:r w:rsidR="00D27F13" w:rsidRPr="008D10F5">
        <w:rPr>
          <w:rFonts w:ascii="Palatino Linotype" w:hAnsi="Palatino Linotype"/>
        </w:rPr>
        <w:t>cooperation</w:t>
      </w:r>
      <w:r w:rsidRPr="008D10F5">
        <w:rPr>
          <w:rFonts w:ascii="Palatino Linotype" w:hAnsi="Palatino Linotype"/>
        </w:rPr>
        <w:t xml:space="preserve"> between Federal, State and local stakeholders, to create a synergistic environment for </w:t>
      </w:r>
      <w:r w:rsidRPr="008D10F5">
        <w:rPr>
          <w:rFonts w:ascii="Palatino Linotype" w:hAnsi="Palatino Linotype"/>
          <w:b/>
        </w:rPr>
        <w:t xml:space="preserve">developing </w:t>
      </w:r>
      <w:r w:rsidR="003A7032" w:rsidRPr="008D10F5">
        <w:rPr>
          <w:rFonts w:ascii="Palatino Linotype" w:hAnsi="Palatino Linotype"/>
          <w:b/>
        </w:rPr>
        <w:t>data delivery tools</w:t>
      </w:r>
      <w:r w:rsidR="003A7032" w:rsidRPr="008D10F5">
        <w:rPr>
          <w:rFonts w:ascii="Palatino Linotype" w:hAnsi="Palatino Linotype"/>
        </w:rPr>
        <w:t xml:space="preserve"> </w:t>
      </w:r>
      <w:r w:rsidRPr="008D10F5">
        <w:rPr>
          <w:rFonts w:ascii="Palatino Linotype" w:hAnsi="Palatino Linotype"/>
        </w:rPr>
        <w:t>that can be</w:t>
      </w:r>
      <w:r w:rsidR="0024670C" w:rsidRPr="008D10F5">
        <w:rPr>
          <w:rFonts w:ascii="Palatino Linotype" w:hAnsi="Palatino Linotype"/>
        </w:rPr>
        <w:t xml:space="preserve"> easily distributed and useful to</w:t>
      </w:r>
      <w:r w:rsidRPr="008D10F5">
        <w:rPr>
          <w:rFonts w:ascii="Palatino Linotype" w:hAnsi="Palatino Linotype"/>
        </w:rPr>
        <w:t xml:space="preserve"> </w:t>
      </w:r>
      <w:r w:rsidR="00D27F13" w:rsidRPr="008D10F5">
        <w:rPr>
          <w:rFonts w:ascii="Palatino Linotype" w:hAnsi="Palatino Linotype"/>
        </w:rPr>
        <w:t>all</w:t>
      </w:r>
      <w:r w:rsidRPr="008D10F5">
        <w:rPr>
          <w:rFonts w:ascii="Palatino Linotype" w:hAnsi="Palatino Linotype"/>
        </w:rPr>
        <w:t>.</w:t>
      </w:r>
    </w:p>
    <w:p w:rsidR="00C913EB" w:rsidRDefault="00C913EB" w:rsidP="00E529ED">
      <w:pPr>
        <w:pStyle w:val="Heading1"/>
      </w:pPr>
      <w:r w:rsidRPr="00E529ED">
        <w:t>Approach</w:t>
      </w:r>
      <w:r w:rsidR="00595DAD">
        <w:t xml:space="preserve"> and Methods</w:t>
      </w:r>
    </w:p>
    <w:p w:rsidR="00297437" w:rsidRPr="00297437" w:rsidRDefault="00297437" w:rsidP="00297437"/>
    <w:p w:rsidR="00297437" w:rsidRPr="008D10F5" w:rsidRDefault="00297437" w:rsidP="00297437">
      <w:pPr>
        <w:rPr>
          <w:rFonts w:ascii="Palatino Linotype" w:hAnsi="Palatino Linotype"/>
        </w:rPr>
      </w:pPr>
      <w:r w:rsidRPr="008D10F5">
        <w:rPr>
          <w:rFonts w:ascii="Palatino Linotype" w:hAnsi="Palatino Linotype"/>
        </w:rPr>
        <w:t>The objectives and major tasks will be accomplished using the following approaches:</w:t>
      </w:r>
    </w:p>
    <w:p w:rsidR="00297437" w:rsidRPr="008D10F5" w:rsidRDefault="00297437" w:rsidP="00297437">
      <w:pPr>
        <w:pStyle w:val="ListParagraph"/>
        <w:ind w:left="0"/>
        <w:rPr>
          <w:rFonts w:ascii="Palatino Linotype" w:hAnsi="Palatino Linotype"/>
          <w:sz w:val="24"/>
          <w:szCs w:val="24"/>
        </w:rPr>
      </w:pPr>
    </w:p>
    <w:p w:rsidR="00D27F13" w:rsidRPr="008D10F5" w:rsidRDefault="00D27F13" w:rsidP="00297437">
      <w:pPr>
        <w:pStyle w:val="ListParagraph"/>
        <w:numPr>
          <w:ilvl w:val="0"/>
          <w:numId w:val="18"/>
        </w:numPr>
        <w:rPr>
          <w:rFonts w:ascii="Palatino Linotype" w:hAnsi="Palatino Linotype"/>
          <w:sz w:val="24"/>
          <w:szCs w:val="24"/>
        </w:rPr>
      </w:pPr>
      <w:r w:rsidRPr="008D10F5">
        <w:rPr>
          <w:rFonts w:ascii="Palatino Linotype" w:hAnsi="Palatino Linotype"/>
          <w:sz w:val="24"/>
          <w:szCs w:val="24"/>
        </w:rPr>
        <w:t xml:space="preserve">Regional database: </w:t>
      </w:r>
    </w:p>
    <w:p w:rsidR="00512AF9" w:rsidRPr="008D10F5" w:rsidRDefault="004A38FA" w:rsidP="00512AF9">
      <w:pPr>
        <w:pStyle w:val="ListParagraph"/>
        <w:numPr>
          <w:ilvl w:val="1"/>
          <w:numId w:val="18"/>
        </w:numPr>
        <w:rPr>
          <w:rFonts w:ascii="Palatino Linotype" w:hAnsi="Palatino Linotype"/>
          <w:sz w:val="24"/>
          <w:szCs w:val="24"/>
        </w:rPr>
      </w:pPr>
      <w:r w:rsidRPr="008D10F5">
        <w:rPr>
          <w:rFonts w:ascii="Palatino Linotype" w:hAnsi="Palatino Linotype"/>
          <w:sz w:val="24"/>
          <w:szCs w:val="24"/>
        </w:rPr>
        <w:t>Coordinate</w:t>
      </w:r>
      <w:r w:rsidR="00D27F13" w:rsidRPr="008D10F5">
        <w:rPr>
          <w:rFonts w:ascii="Palatino Linotype" w:hAnsi="Palatino Linotype"/>
          <w:sz w:val="24"/>
          <w:szCs w:val="24"/>
        </w:rPr>
        <w:t xml:space="preserve"> with the USGS 2010 </w:t>
      </w:r>
      <w:r w:rsidR="008D10F5">
        <w:rPr>
          <w:rFonts w:ascii="Palatino Linotype" w:hAnsi="Palatino Linotype"/>
          <w:sz w:val="24"/>
          <w:szCs w:val="24"/>
        </w:rPr>
        <w:t xml:space="preserve">water-use </w:t>
      </w:r>
      <w:r w:rsidR="00D27F13" w:rsidRPr="008D10F5">
        <w:rPr>
          <w:rFonts w:ascii="Palatino Linotype" w:hAnsi="Palatino Linotype"/>
          <w:sz w:val="24"/>
          <w:szCs w:val="24"/>
        </w:rPr>
        <w:t xml:space="preserve">compilation, </w:t>
      </w:r>
      <w:r w:rsidRPr="008D10F5">
        <w:rPr>
          <w:rFonts w:ascii="Palatino Linotype" w:hAnsi="Palatino Linotype"/>
          <w:sz w:val="24"/>
          <w:szCs w:val="24"/>
        </w:rPr>
        <w:t xml:space="preserve">which compiles </w:t>
      </w:r>
      <w:r w:rsidR="00D27F13" w:rsidRPr="008D10F5">
        <w:rPr>
          <w:rFonts w:ascii="Palatino Linotype" w:hAnsi="Palatino Linotype"/>
          <w:sz w:val="24"/>
          <w:szCs w:val="24"/>
        </w:rPr>
        <w:t xml:space="preserve">county </w:t>
      </w:r>
      <w:r w:rsidRPr="008D10F5">
        <w:rPr>
          <w:rFonts w:ascii="Palatino Linotype" w:hAnsi="Palatino Linotype"/>
          <w:sz w:val="24"/>
          <w:szCs w:val="24"/>
        </w:rPr>
        <w:t xml:space="preserve">based annual </w:t>
      </w:r>
      <w:r w:rsidR="00D27F13" w:rsidRPr="008D10F5">
        <w:rPr>
          <w:rFonts w:ascii="Palatino Linotype" w:hAnsi="Palatino Linotype"/>
          <w:sz w:val="24"/>
          <w:szCs w:val="24"/>
        </w:rPr>
        <w:t xml:space="preserve">withdrawals </w:t>
      </w:r>
      <w:r w:rsidRPr="008D10F5">
        <w:rPr>
          <w:rFonts w:ascii="Palatino Linotype" w:hAnsi="Palatino Linotype"/>
          <w:sz w:val="24"/>
          <w:szCs w:val="24"/>
        </w:rPr>
        <w:t xml:space="preserve">by source </w:t>
      </w:r>
      <w:r w:rsidR="00D27F13" w:rsidRPr="008D10F5">
        <w:rPr>
          <w:rFonts w:ascii="Palatino Linotype" w:hAnsi="Palatino Linotype"/>
          <w:sz w:val="24"/>
          <w:szCs w:val="24"/>
        </w:rPr>
        <w:t>for major and minor categories of use.</w:t>
      </w:r>
      <w:r w:rsidR="00390CA6">
        <w:rPr>
          <w:rFonts w:ascii="Palatino Linotype" w:hAnsi="Palatino Linotype"/>
          <w:sz w:val="24"/>
          <w:szCs w:val="24"/>
        </w:rPr>
        <w:t xml:space="preserve"> </w:t>
      </w:r>
      <w:proofErr w:type="spellStart"/>
      <w:r w:rsidR="00390CA6">
        <w:rPr>
          <w:rFonts w:ascii="Palatino Linotype" w:hAnsi="Palatino Linotype"/>
          <w:sz w:val="24"/>
          <w:szCs w:val="24"/>
        </w:rPr>
        <w:t>Reaggregate</w:t>
      </w:r>
      <w:proofErr w:type="spellEnd"/>
      <w:r w:rsidR="00390CA6">
        <w:rPr>
          <w:rFonts w:ascii="Palatino Linotype" w:hAnsi="Palatino Linotype"/>
          <w:sz w:val="24"/>
          <w:szCs w:val="24"/>
        </w:rPr>
        <w:t xml:space="preserve"> these data at the HUC-8 </w:t>
      </w:r>
      <w:r w:rsidR="006A0736">
        <w:rPr>
          <w:rFonts w:ascii="Palatino Linotype" w:hAnsi="Palatino Linotype"/>
          <w:sz w:val="24"/>
          <w:szCs w:val="24"/>
        </w:rPr>
        <w:t>level</w:t>
      </w:r>
      <w:r w:rsidR="00390CA6">
        <w:rPr>
          <w:rFonts w:ascii="Palatino Linotype" w:hAnsi="Palatino Linotype"/>
          <w:sz w:val="24"/>
          <w:szCs w:val="24"/>
        </w:rPr>
        <w:t>.</w:t>
      </w:r>
    </w:p>
    <w:p w:rsidR="00512AF9" w:rsidRDefault="00D27F13" w:rsidP="00512AF9">
      <w:pPr>
        <w:pStyle w:val="ListParagraph"/>
        <w:numPr>
          <w:ilvl w:val="1"/>
          <w:numId w:val="18"/>
        </w:numPr>
        <w:rPr>
          <w:rFonts w:ascii="Palatino Linotype" w:hAnsi="Palatino Linotype"/>
          <w:sz w:val="24"/>
          <w:szCs w:val="24"/>
        </w:rPr>
      </w:pPr>
      <w:r w:rsidRPr="008D10F5">
        <w:rPr>
          <w:rFonts w:ascii="Palatino Linotype" w:hAnsi="Palatino Linotype"/>
          <w:sz w:val="24"/>
          <w:szCs w:val="24"/>
        </w:rPr>
        <w:t xml:space="preserve">Build </w:t>
      </w:r>
      <w:r w:rsidR="008D10F5">
        <w:rPr>
          <w:rFonts w:ascii="Palatino Linotype" w:hAnsi="Palatino Linotype"/>
          <w:sz w:val="24"/>
          <w:szCs w:val="24"/>
        </w:rPr>
        <w:t xml:space="preserve">a </w:t>
      </w:r>
      <w:r w:rsidRPr="008D10F5">
        <w:rPr>
          <w:rFonts w:ascii="Palatino Linotype" w:hAnsi="Palatino Linotype"/>
          <w:sz w:val="24"/>
          <w:szCs w:val="24"/>
        </w:rPr>
        <w:t>site-specific public-supply database</w:t>
      </w:r>
      <w:r w:rsidR="00675118" w:rsidRPr="008D10F5">
        <w:rPr>
          <w:rFonts w:ascii="Palatino Linotype" w:hAnsi="Palatino Linotype"/>
          <w:sz w:val="24"/>
          <w:szCs w:val="24"/>
        </w:rPr>
        <w:t xml:space="preserve"> (SWUDS</w:t>
      </w:r>
      <w:r w:rsidR="001061CE">
        <w:rPr>
          <w:rFonts w:ascii="Palatino Linotype" w:hAnsi="Palatino Linotype"/>
          <w:sz w:val="24"/>
          <w:szCs w:val="24"/>
        </w:rPr>
        <w:t>; Site-Specific Water Use Database System. A part of USGS NWIS</w:t>
      </w:r>
      <w:r w:rsidR="00675118" w:rsidRPr="008D10F5">
        <w:rPr>
          <w:rFonts w:ascii="Palatino Linotype" w:hAnsi="Palatino Linotype"/>
          <w:sz w:val="24"/>
          <w:szCs w:val="24"/>
        </w:rPr>
        <w:t>)</w:t>
      </w:r>
      <w:r w:rsidR="004A38FA" w:rsidRPr="008D10F5">
        <w:rPr>
          <w:rFonts w:ascii="Palatino Linotype" w:hAnsi="Palatino Linotype"/>
          <w:sz w:val="24"/>
          <w:szCs w:val="24"/>
        </w:rPr>
        <w:t>, and ideally populate wells and intakes</w:t>
      </w:r>
      <w:r w:rsidR="006A0736">
        <w:rPr>
          <w:rFonts w:ascii="Palatino Linotype" w:hAnsi="Palatino Linotype"/>
          <w:sz w:val="24"/>
          <w:szCs w:val="24"/>
        </w:rPr>
        <w:t>,</w:t>
      </w:r>
      <w:r w:rsidR="004A38FA" w:rsidRPr="008D10F5">
        <w:rPr>
          <w:rFonts w:ascii="Palatino Linotype" w:hAnsi="Palatino Linotype"/>
          <w:sz w:val="24"/>
          <w:szCs w:val="24"/>
        </w:rPr>
        <w:t xml:space="preserve"> </w:t>
      </w:r>
      <w:r w:rsidR="006A0736">
        <w:rPr>
          <w:rFonts w:ascii="Palatino Linotype" w:hAnsi="Palatino Linotype"/>
          <w:sz w:val="24"/>
          <w:szCs w:val="24"/>
        </w:rPr>
        <w:t xml:space="preserve">optimally </w:t>
      </w:r>
      <w:r w:rsidR="004A38FA" w:rsidRPr="008D10F5">
        <w:rPr>
          <w:rFonts w:ascii="Palatino Linotype" w:hAnsi="Palatino Linotype"/>
          <w:sz w:val="24"/>
          <w:szCs w:val="24"/>
        </w:rPr>
        <w:t>with monthly withdrawals by source</w:t>
      </w:r>
      <w:r w:rsidR="006A0736">
        <w:rPr>
          <w:rFonts w:ascii="Palatino Linotype" w:hAnsi="Palatino Linotype"/>
          <w:sz w:val="24"/>
          <w:szCs w:val="24"/>
        </w:rPr>
        <w:t xml:space="preserve"> but may be seasonal or annual</w:t>
      </w:r>
      <w:r w:rsidR="004A38FA" w:rsidRPr="008D10F5">
        <w:rPr>
          <w:rFonts w:ascii="Palatino Linotype" w:hAnsi="Palatino Linotype"/>
          <w:sz w:val="24"/>
          <w:szCs w:val="24"/>
        </w:rPr>
        <w:t>. Also include population served by system, transfers, or sales between systems. Identify withdrawal or diversion sites by HUC-8, at least.</w:t>
      </w:r>
      <w:r w:rsidR="001061CE">
        <w:rPr>
          <w:rFonts w:ascii="Palatino Linotype" w:hAnsi="Palatino Linotype"/>
          <w:sz w:val="24"/>
          <w:szCs w:val="24"/>
        </w:rPr>
        <w:t xml:space="preserve"> Note: some datasets will not be released to the public and may have limited availability to cooperators based on content, and USGS or USEPA security protocols.</w:t>
      </w:r>
    </w:p>
    <w:p w:rsidR="001061CE" w:rsidRPr="008D10F5" w:rsidRDefault="008B2BC8" w:rsidP="00512AF9">
      <w:pPr>
        <w:pStyle w:val="ListParagraph"/>
        <w:numPr>
          <w:ilvl w:val="1"/>
          <w:numId w:val="18"/>
        </w:numPr>
        <w:rPr>
          <w:rFonts w:ascii="Palatino Linotype" w:hAnsi="Palatino Linotype"/>
          <w:sz w:val="24"/>
          <w:szCs w:val="24"/>
        </w:rPr>
      </w:pPr>
      <w:r>
        <w:rPr>
          <w:rFonts w:ascii="Palatino Linotype" w:hAnsi="Palatino Linotype"/>
          <w:sz w:val="24"/>
          <w:szCs w:val="24"/>
        </w:rPr>
        <w:t>Incorporate site-specific</w:t>
      </w:r>
      <w:r w:rsidR="001061CE">
        <w:rPr>
          <w:rFonts w:ascii="Palatino Linotype" w:hAnsi="Palatino Linotype"/>
          <w:sz w:val="24"/>
          <w:szCs w:val="24"/>
        </w:rPr>
        <w:t xml:space="preserve"> </w:t>
      </w:r>
      <w:r>
        <w:rPr>
          <w:rFonts w:ascii="Palatino Linotype" w:hAnsi="Palatino Linotype"/>
          <w:sz w:val="24"/>
          <w:szCs w:val="24"/>
        </w:rPr>
        <w:t>r</w:t>
      </w:r>
      <w:r>
        <w:rPr>
          <w:rFonts w:ascii="Palatino Linotype" w:hAnsi="Palatino Linotype"/>
          <w:sz w:val="24"/>
          <w:szCs w:val="24"/>
        </w:rPr>
        <w:t xml:space="preserve">eturn </w:t>
      </w:r>
      <w:r w:rsidR="001061CE">
        <w:rPr>
          <w:rFonts w:ascii="Palatino Linotype" w:hAnsi="Palatino Linotype"/>
          <w:sz w:val="24"/>
          <w:szCs w:val="24"/>
        </w:rPr>
        <w:t>flows (discharge) from municipal and industrial facilities to surface-water bodies to help compute consumptive use for those sectors.</w:t>
      </w:r>
    </w:p>
    <w:p w:rsidR="0024670C" w:rsidRPr="008D10F5" w:rsidRDefault="0024670C" w:rsidP="0024670C">
      <w:pPr>
        <w:pStyle w:val="ListParagraph"/>
        <w:numPr>
          <w:ilvl w:val="0"/>
          <w:numId w:val="18"/>
        </w:numPr>
        <w:rPr>
          <w:rFonts w:ascii="Palatino Linotype" w:hAnsi="Palatino Linotype"/>
          <w:sz w:val="24"/>
          <w:szCs w:val="24"/>
        </w:rPr>
      </w:pPr>
      <w:r w:rsidRPr="008D10F5">
        <w:rPr>
          <w:rFonts w:ascii="Palatino Linotype" w:hAnsi="Palatino Linotype"/>
          <w:sz w:val="24"/>
          <w:szCs w:val="24"/>
        </w:rPr>
        <w:t>Integrate water use data with understanding of natural flows</w:t>
      </w:r>
    </w:p>
    <w:p w:rsidR="000E562A" w:rsidRPr="008D10F5" w:rsidRDefault="000E562A" w:rsidP="0024670C">
      <w:pPr>
        <w:pStyle w:val="ListParagraph"/>
        <w:numPr>
          <w:ilvl w:val="1"/>
          <w:numId w:val="18"/>
        </w:numPr>
        <w:rPr>
          <w:rFonts w:ascii="Palatino Linotype" w:hAnsi="Palatino Linotype"/>
          <w:sz w:val="24"/>
          <w:szCs w:val="24"/>
        </w:rPr>
      </w:pPr>
      <w:r w:rsidRPr="008D10F5">
        <w:rPr>
          <w:rFonts w:ascii="Palatino Linotype" w:hAnsi="Palatino Linotype"/>
          <w:sz w:val="24"/>
          <w:szCs w:val="24"/>
        </w:rPr>
        <w:t>Select 2-3 representative “end-member” sub-basins within the CRB</w:t>
      </w:r>
      <w:r w:rsidR="006A0736">
        <w:rPr>
          <w:rFonts w:ascii="Palatino Linotype" w:hAnsi="Palatino Linotype"/>
          <w:sz w:val="24"/>
          <w:szCs w:val="24"/>
        </w:rPr>
        <w:t>FAS</w:t>
      </w:r>
      <w:r w:rsidRPr="008D10F5">
        <w:rPr>
          <w:rFonts w:ascii="Palatino Linotype" w:hAnsi="Palatino Linotype"/>
          <w:sz w:val="24"/>
          <w:szCs w:val="24"/>
        </w:rPr>
        <w:t xml:space="preserve"> to demonstrate detailed water-budget aggregation and geospatial data dissemination</w:t>
      </w:r>
    </w:p>
    <w:p w:rsidR="0024670C" w:rsidRPr="008D10F5" w:rsidRDefault="0024670C" w:rsidP="0024670C">
      <w:pPr>
        <w:pStyle w:val="ListParagraph"/>
        <w:numPr>
          <w:ilvl w:val="1"/>
          <w:numId w:val="18"/>
        </w:numPr>
        <w:rPr>
          <w:rFonts w:ascii="Palatino Linotype" w:hAnsi="Palatino Linotype"/>
          <w:sz w:val="24"/>
          <w:szCs w:val="24"/>
        </w:rPr>
      </w:pPr>
      <w:r w:rsidRPr="008D10F5">
        <w:rPr>
          <w:rFonts w:ascii="Palatino Linotype" w:hAnsi="Palatino Linotype"/>
          <w:sz w:val="24"/>
          <w:szCs w:val="24"/>
        </w:rPr>
        <w:t xml:space="preserve">Map points of diversion on the National Hydrologic Dataset-Plus (NHDPlus) </w:t>
      </w:r>
      <w:r w:rsidR="000E562A" w:rsidRPr="008D10F5">
        <w:rPr>
          <w:rFonts w:ascii="Palatino Linotype" w:hAnsi="Palatino Linotype"/>
          <w:sz w:val="24"/>
          <w:szCs w:val="24"/>
        </w:rPr>
        <w:t xml:space="preserve">within these sub-basins </w:t>
      </w:r>
      <w:r w:rsidRPr="008D10F5">
        <w:rPr>
          <w:rFonts w:ascii="Palatino Linotype" w:hAnsi="Palatino Linotype"/>
          <w:sz w:val="24"/>
          <w:szCs w:val="24"/>
        </w:rPr>
        <w:t xml:space="preserve">for Public Supply, Irrigation, and Thermoelectric water uses. </w:t>
      </w:r>
    </w:p>
    <w:p w:rsidR="0024670C" w:rsidRPr="008D10F5" w:rsidRDefault="000E562A" w:rsidP="0024670C">
      <w:pPr>
        <w:pStyle w:val="ListParagraph"/>
        <w:numPr>
          <w:ilvl w:val="1"/>
          <w:numId w:val="18"/>
        </w:numPr>
        <w:rPr>
          <w:rFonts w:ascii="Palatino Linotype" w:hAnsi="Palatino Linotype"/>
          <w:sz w:val="24"/>
          <w:szCs w:val="24"/>
        </w:rPr>
      </w:pPr>
      <w:r w:rsidRPr="008D10F5">
        <w:rPr>
          <w:rFonts w:ascii="Palatino Linotype" w:hAnsi="Palatino Linotype"/>
          <w:sz w:val="24"/>
          <w:szCs w:val="24"/>
        </w:rPr>
        <w:t xml:space="preserve">Develop interactive web-based data delivery tool, based on </w:t>
      </w:r>
      <w:proofErr w:type="spellStart"/>
      <w:r w:rsidRPr="008D10F5">
        <w:rPr>
          <w:rFonts w:ascii="Palatino Linotype" w:hAnsi="Palatino Linotype"/>
          <w:sz w:val="24"/>
          <w:szCs w:val="24"/>
        </w:rPr>
        <w:t>StreamStats</w:t>
      </w:r>
      <w:proofErr w:type="spellEnd"/>
      <w:r w:rsidRPr="008D10F5">
        <w:rPr>
          <w:rFonts w:ascii="Palatino Linotype" w:hAnsi="Palatino Linotype"/>
          <w:sz w:val="24"/>
          <w:szCs w:val="24"/>
        </w:rPr>
        <w:t xml:space="preserve"> technology, </w:t>
      </w:r>
      <w:r w:rsidR="001061CE">
        <w:rPr>
          <w:rFonts w:ascii="Palatino Linotype" w:hAnsi="Palatino Linotype"/>
          <w:sz w:val="24"/>
          <w:szCs w:val="24"/>
        </w:rPr>
        <w:t xml:space="preserve">or other proven Decision Support Systems (DSS; like SPARROW’s DSS) </w:t>
      </w:r>
      <w:r w:rsidRPr="008D10F5">
        <w:rPr>
          <w:rFonts w:ascii="Palatino Linotype" w:hAnsi="Palatino Linotype"/>
          <w:sz w:val="24"/>
          <w:szCs w:val="24"/>
        </w:rPr>
        <w:t xml:space="preserve">that will </w:t>
      </w:r>
      <w:r w:rsidR="001061CE">
        <w:rPr>
          <w:rFonts w:ascii="Palatino Linotype" w:hAnsi="Palatino Linotype"/>
          <w:sz w:val="24"/>
          <w:szCs w:val="24"/>
        </w:rPr>
        <w:t>allow for analysis of</w:t>
      </w:r>
      <w:r w:rsidR="001061CE" w:rsidRPr="008D10F5">
        <w:rPr>
          <w:rFonts w:ascii="Palatino Linotype" w:hAnsi="Palatino Linotype"/>
          <w:sz w:val="24"/>
          <w:szCs w:val="24"/>
        </w:rPr>
        <w:t xml:space="preserve"> </w:t>
      </w:r>
      <w:r w:rsidRPr="008D10F5">
        <w:rPr>
          <w:rFonts w:ascii="Palatino Linotype" w:hAnsi="Palatino Linotype"/>
          <w:sz w:val="24"/>
          <w:szCs w:val="24"/>
        </w:rPr>
        <w:t>user</w:t>
      </w:r>
      <w:r w:rsidR="001061CE">
        <w:rPr>
          <w:rFonts w:ascii="Palatino Linotype" w:hAnsi="Palatino Linotype"/>
          <w:sz w:val="24"/>
          <w:szCs w:val="24"/>
        </w:rPr>
        <w:t>-</w:t>
      </w:r>
      <w:r w:rsidRPr="008D10F5">
        <w:rPr>
          <w:rFonts w:ascii="Palatino Linotype" w:hAnsi="Palatino Linotype"/>
          <w:sz w:val="24"/>
          <w:szCs w:val="24"/>
        </w:rPr>
        <w:t xml:space="preserve">defined estimates of water use and water budget information that </w:t>
      </w:r>
      <w:r w:rsidR="001061CE">
        <w:rPr>
          <w:rFonts w:ascii="Palatino Linotype" w:hAnsi="Palatino Linotype"/>
          <w:sz w:val="24"/>
          <w:szCs w:val="24"/>
        </w:rPr>
        <w:t>are</w:t>
      </w:r>
      <w:r w:rsidR="001061CE" w:rsidRPr="008D10F5">
        <w:rPr>
          <w:rFonts w:ascii="Palatino Linotype" w:hAnsi="Palatino Linotype"/>
          <w:sz w:val="24"/>
          <w:szCs w:val="24"/>
        </w:rPr>
        <w:t xml:space="preserve"> </w:t>
      </w:r>
      <w:r w:rsidRPr="008D10F5">
        <w:rPr>
          <w:rFonts w:ascii="Palatino Linotype" w:hAnsi="Palatino Linotype"/>
          <w:sz w:val="24"/>
          <w:szCs w:val="24"/>
        </w:rPr>
        <w:t>aggregated upstream from any stream point within the sub-basin.</w:t>
      </w:r>
    </w:p>
    <w:p w:rsidR="00D27F13" w:rsidRPr="008D10F5" w:rsidRDefault="00D27F13" w:rsidP="00297437">
      <w:pPr>
        <w:pStyle w:val="ListParagraph"/>
        <w:numPr>
          <w:ilvl w:val="0"/>
          <w:numId w:val="18"/>
        </w:numPr>
        <w:rPr>
          <w:rFonts w:ascii="Palatino Linotype" w:hAnsi="Palatino Linotype"/>
          <w:sz w:val="24"/>
          <w:szCs w:val="24"/>
        </w:rPr>
      </w:pPr>
      <w:r w:rsidRPr="008D10F5">
        <w:rPr>
          <w:rFonts w:ascii="Palatino Linotype" w:hAnsi="Palatino Linotype"/>
          <w:sz w:val="24"/>
          <w:szCs w:val="24"/>
        </w:rPr>
        <w:t>New technologies:</w:t>
      </w:r>
    </w:p>
    <w:p w:rsidR="00512AF9" w:rsidRPr="008D10F5" w:rsidRDefault="00D27F13" w:rsidP="00512AF9">
      <w:pPr>
        <w:pStyle w:val="ListParagraph"/>
        <w:numPr>
          <w:ilvl w:val="1"/>
          <w:numId w:val="18"/>
        </w:numPr>
        <w:rPr>
          <w:rFonts w:ascii="Palatino Linotype" w:hAnsi="Palatino Linotype"/>
          <w:sz w:val="24"/>
          <w:szCs w:val="24"/>
        </w:rPr>
      </w:pPr>
      <w:r w:rsidRPr="008D10F5">
        <w:rPr>
          <w:rFonts w:ascii="Palatino Linotype" w:hAnsi="Palatino Linotype"/>
          <w:sz w:val="24"/>
          <w:szCs w:val="24"/>
        </w:rPr>
        <w:lastRenderedPageBreak/>
        <w:t xml:space="preserve">Use remote </w:t>
      </w:r>
      <w:r w:rsidR="001061CE">
        <w:rPr>
          <w:rFonts w:ascii="Palatino Linotype" w:hAnsi="Palatino Linotype"/>
          <w:sz w:val="24"/>
          <w:szCs w:val="24"/>
        </w:rPr>
        <w:t>sensing technology to estimate</w:t>
      </w:r>
      <w:r w:rsidR="001061CE" w:rsidRPr="008D10F5">
        <w:rPr>
          <w:rFonts w:ascii="Palatino Linotype" w:hAnsi="Palatino Linotype"/>
          <w:sz w:val="24"/>
          <w:szCs w:val="24"/>
        </w:rPr>
        <w:t xml:space="preserve"> </w:t>
      </w:r>
      <w:r w:rsidR="00390CA6">
        <w:rPr>
          <w:rFonts w:ascii="Palatino Linotype" w:hAnsi="Palatino Linotype"/>
          <w:sz w:val="24"/>
          <w:szCs w:val="24"/>
        </w:rPr>
        <w:t xml:space="preserve">evapotranspiration </w:t>
      </w:r>
      <w:r w:rsidR="001061CE">
        <w:rPr>
          <w:rFonts w:ascii="Palatino Linotype" w:hAnsi="Palatino Linotype"/>
          <w:sz w:val="24"/>
          <w:szCs w:val="24"/>
        </w:rPr>
        <w:t xml:space="preserve">and </w:t>
      </w:r>
      <w:r w:rsidRPr="008D10F5">
        <w:rPr>
          <w:rFonts w:ascii="Palatino Linotype" w:hAnsi="Palatino Linotype"/>
          <w:sz w:val="24"/>
          <w:szCs w:val="24"/>
        </w:rPr>
        <w:t>consumptive use for cropland</w:t>
      </w:r>
      <w:r w:rsidR="00390CA6">
        <w:rPr>
          <w:rFonts w:ascii="Palatino Linotype" w:hAnsi="Palatino Linotype"/>
          <w:sz w:val="24"/>
          <w:szCs w:val="24"/>
        </w:rPr>
        <w:t xml:space="preserve"> in particular</w:t>
      </w:r>
      <w:r w:rsidRPr="008D10F5">
        <w:rPr>
          <w:rFonts w:ascii="Palatino Linotype" w:hAnsi="Palatino Linotype"/>
          <w:sz w:val="24"/>
          <w:szCs w:val="24"/>
        </w:rPr>
        <w:t xml:space="preserve">, </w:t>
      </w:r>
      <w:r w:rsidR="00390CA6">
        <w:rPr>
          <w:rFonts w:ascii="Palatino Linotype" w:hAnsi="Palatino Linotype"/>
          <w:sz w:val="24"/>
          <w:szCs w:val="24"/>
        </w:rPr>
        <w:t>but include other</w:t>
      </w:r>
      <w:r w:rsidRPr="008D10F5">
        <w:rPr>
          <w:rFonts w:ascii="Palatino Linotype" w:hAnsi="Palatino Linotype"/>
          <w:sz w:val="24"/>
          <w:szCs w:val="24"/>
        </w:rPr>
        <w:t xml:space="preserve"> vegetated lands</w:t>
      </w:r>
      <w:r w:rsidR="00390CA6">
        <w:rPr>
          <w:rFonts w:ascii="Palatino Linotype" w:hAnsi="Palatino Linotype"/>
          <w:sz w:val="24"/>
          <w:szCs w:val="24"/>
        </w:rPr>
        <w:t xml:space="preserve"> as well</w:t>
      </w:r>
      <w:r w:rsidRPr="008D10F5">
        <w:rPr>
          <w:rFonts w:ascii="Palatino Linotype" w:hAnsi="Palatino Linotype"/>
          <w:sz w:val="24"/>
          <w:szCs w:val="24"/>
        </w:rPr>
        <w:t>.</w:t>
      </w:r>
    </w:p>
    <w:p w:rsidR="00512AF9" w:rsidRPr="008D10F5" w:rsidRDefault="004A38FA" w:rsidP="00512AF9">
      <w:pPr>
        <w:pStyle w:val="ListParagraph"/>
        <w:numPr>
          <w:ilvl w:val="1"/>
          <w:numId w:val="18"/>
        </w:numPr>
        <w:rPr>
          <w:rFonts w:ascii="Palatino Linotype" w:hAnsi="Palatino Linotype"/>
          <w:sz w:val="24"/>
          <w:szCs w:val="24"/>
        </w:rPr>
      </w:pPr>
      <w:r w:rsidRPr="008D10F5">
        <w:rPr>
          <w:rFonts w:ascii="Palatino Linotype" w:hAnsi="Palatino Linotype"/>
          <w:sz w:val="24"/>
          <w:szCs w:val="24"/>
        </w:rPr>
        <w:t xml:space="preserve">Integrate water-use data with web-based </w:t>
      </w:r>
      <w:r w:rsidR="00390CA6" w:rsidRPr="008D10F5">
        <w:rPr>
          <w:rFonts w:ascii="Palatino Linotype" w:hAnsi="Palatino Linotype"/>
          <w:sz w:val="24"/>
          <w:szCs w:val="24"/>
        </w:rPr>
        <w:t xml:space="preserve">enhance stream-flow statistics </w:t>
      </w:r>
      <w:r w:rsidR="00390CA6">
        <w:rPr>
          <w:rFonts w:ascii="Palatino Linotype" w:hAnsi="Palatino Linotype"/>
          <w:sz w:val="24"/>
          <w:szCs w:val="24"/>
        </w:rPr>
        <w:t xml:space="preserve">(e.g. </w:t>
      </w:r>
      <w:proofErr w:type="spellStart"/>
      <w:r w:rsidRPr="008D10F5">
        <w:rPr>
          <w:rFonts w:ascii="Palatino Linotype" w:hAnsi="Palatino Linotype"/>
          <w:sz w:val="24"/>
          <w:szCs w:val="24"/>
        </w:rPr>
        <w:t>StreamStats</w:t>
      </w:r>
      <w:proofErr w:type="spellEnd"/>
      <w:r w:rsidR="00390CA6">
        <w:rPr>
          <w:rFonts w:ascii="Palatino Linotype" w:hAnsi="Palatino Linotype"/>
          <w:sz w:val="24"/>
          <w:szCs w:val="24"/>
        </w:rPr>
        <w:t>)</w:t>
      </w:r>
      <w:r w:rsidRPr="008D10F5">
        <w:rPr>
          <w:rFonts w:ascii="Palatino Linotype" w:hAnsi="Palatino Linotype"/>
          <w:sz w:val="24"/>
          <w:szCs w:val="24"/>
        </w:rPr>
        <w:t xml:space="preserve"> to support </w:t>
      </w:r>
      <w:r w:rsidR="00724679">
        <w:rPr>
          <w:rFonts w:ascii="Palatino Linotype" w:hAnsi="Palatino Linotype"/>
          <w:sz w:val="24"/>
          <w:szCs w:val="24"/>
        </w:rPr>
        <w:t>site specific</w:t>
      </w:r>
      <w:r w:rsidRPr="008D10F5">
        <w:rPr>
          <w:rFonts w:ascii="Palatino Linotype" w:hAnsi="Palatino Linotype"/>
          <w:sz w:val="24"/>
          <w:szCs w:val="24"/>
        </w:rPr>
        <w:t xml:space="preserve"> user-defined</w:t>
      </w:r>
      <w:r w:rsidR="00390CA6">
        <w:rPr>
          <w:rFonts w:ascii="Palatino Linotype" w:hAnsi="Palatino Linotype"/>
          <w:sz w:val="24"/>
          <w:szCs w:val="24"/>
        </w:rPr>
        <w:t xml:space="preserve"> water-budget calculations in</w:t>
      </w:r>
      <w:r w:rsidRPr="008D10F5">
        <w:rPr>
          <w:rFonts w:ascii="Palatino Linotype" w:hAnsi="Palatino Linotype"/>
          <w:sz w:val="24"/>
          <w:szCs w:val="24"/>
        </w:rPr>
        <w:t xml:space="preserve"> gaged and </w:t>
      </w:r>
      <w:proofErr w:type="spellStart"/>
      <w:r w:rsidRPr="008D10F5">
        <w:rPr>
          <w:rFonts w:ascii="Palatino Linotype" w:hAnsi="Palatino Linotype"/>
          <w:sz w:val="24"/>
          <w:szCs w:val="24"/>
        </w:rPr>
        <w:t>ungaged</w:t>
      </w:r>
      <w:proofErr w:type="spellEnd"/>
      <w:r w:rsidRPr="008D10F5">
        <w:rPr>
          <w:rFonts w:ascii="Palatino Linotype" w:hAnsi="Palatino Linotype"/>
          <w:sz w:val="24"/>
          <w:szCs w:val="24"/>
        </w:rPr>
        <w:t xml:space="preserve"> basins.</w:t>
      </w:r>
    </w:p>
    <w:p w:rsidR="00297437" w:rsidRPr="008D10F5" w:rsidRDefault="00297437" w:rsidP="00297437">
      <w:pPr>
        <w:pStyle w:val="ListParagraph"/>
        <w:rPr>
          <w:rFonts w:ascii="Palatino Linotype" w:hAnsi="Palatino Linotype"/>
          <w:sz w:val="24"/>
          <w:szCs w:val="24"/>
        </w:rPr>
      </w:pPr>
    </w:p>
    <w:p w:rsidR="00297437" w:rsidRPr="008D10F5" w:rsidRDefault="00D27F13" w:rsidP="00297437">
      <w:pPr>
        <w:pStyle w:val="ListParagraph"/>
        <w:numPr>
          <w:ilvl w:val="0"/>
          <w:numId w:val="18"/>
        </w:numPr>
        <w:rPr>
          <w:rFonts w:ascii="Palatino Linotype" w:hAnsi="Palatino Linotype"/>
          <w:sz w:val="24"/>
          <w:szCs w:val="24"/>
        </w:rPr>
      </w:pPr>
      <w:r w:rsidRPr="008D10F5">
        <w:rPr>
          <w:rFonts w:ascii="Palatino Linotype" w:hAnsi="Palatino Linotype"/>
          <w:sz w:val="24"/>
          <w:szCs w:val="24"/>
        </w:rPr>
        <w:t>Data distribution:</w:t>
      </w:r>
    </w:p>
    <w:p w:rsidR="00512AF9" w:rsidRDefault="00724679" w:rsidP="00512AF9">
      <w:pPr>
        <w:pStyle w:val="ListParagraph"/>
        <w:numPr>
          <w:ilvl w:val="1"/>
          <w:numId w:val="18"/>
        </w:numPr>
        <w:rPr>
          <w:rFonts w:ascii="Palatino Linotype" w:hAnsi="Palatino Linotype"/>
          <w:sz w:val="24"/>
          <w:szCs w:val="24"/>
        </w:rPr>
      </w:pPr>
      <w:r>
        <w:rPr>
          <w:rFonts w:ascii="Palatino Linotype" w:hAnsi="Palatino Linotype"/>
          <w:sz w:val="24"/>
          <w:szCs w:val="24"/>
        </w:rPr>
        <w:t xml:space="preserve">Provide raw data sets </w:t>
      </w:r>
      <w:r w:rsidR="001061CE">
        <w:rPr>
          <w:rFonts w:ascii="Palatino Linotype" w:hAnsi="Palatino Linotype"/>
          <w:sz w:val="24"/>
          <w:szCs w:val="24"/>
        </w:rPr>
        <w:t xml:space="preserve">(within parameters of Homeland Security and USGS, USEPA security protocols) </w:t>
      </w:r>
      <w:r>
        <w:rPr>
          <w:rFonts w:ascii="Palatino Linotype" w:hAnsi="Palatino Linotype"/>
          <w:sz w:val="24"/>
          <w:szCs w:val="24"/>
        </w:rPr>
        <w:t>for download at Project data web page.</w:t>
      </w:r>
    </w:p>
    <w:p w:rsidR="00724679" w:rsidRPr="008D10F5" w:rsidRDefault="00724679" w:rsidP="00512AF9">
      <w:pPr>
        <w:pStyle w:val="ListParagraph"/>
        <w:numPr>
          <w:ilvl w:val="1"/>
          <w:numId w:val="18"/>
        </w:numPr>
        <w:rPr>
          <w:rFonts w:ascii="Palatino Linotype" w:hAnsi="Palatino Linotype"/>
          <w:sz w:val="24"/>
          <w:szCs w:val="24"/>
        </w:rPr>
      </w:pPr>
      <w:r>
        <w:rPr>
          <w:rFonts w:ascii="Palatino Linotype" w:hAnsi="Palatino Linotype"/>
          <w:sz w:val="24"/>
          <w:szCs w:val="24"/>
        </w:rPr>
        <w:t>Develop web-based interactive basin maps to serve site specific</w:t>
      </w:r>
      <w:r w:rsidRPr="008D10F5">
        <w:rPr>
          <w:rFonts w:ascii="Palatino Linotype" w:hAnsi="Palatino Linotype"/>
          <w:sz w:val="24"/>
          <w:szCs w:val="24"/>
        </w:rPr>
        <w:t xml:space="preserve"> user-defined</w:t>
      </w:r>
      <w:r>
        <w:rPr>
          <w:rFonts w:ascii="Palatino Linotype" w:hAnsi="Palatino Linotype"/>
          <w:sz w:val="24"/>
          <w:szCs w:val="24"/>
        </w:rPr>
        <w:t xml:space="preserve"> water-budget calculations to the public.</w:t>
      </w:r>
    </w:p>
    <w:p w:rsidR="00C913EB" w:rsidRDefault="00C913EB" w:rsidP="00093633">
      <w:pPr>
        <w:pStyle w:val="Heading1"/>
      </w:pPr>
      <w:r>
        <w:t>Task</w:t>
      </w:r>
      <w:r w:rsidR="00093633">
        <w:t xml:space="preserve"> List</w:t>
      </w:r>
    </w:p>
    <w:p w:rsidR="00465B7E" w:rsidRDefault="00465B7E" w:rsidP="00461E46">
      <w:pPr>
        <w:pStyle w:val="TaskHeading"/>
        <w:tabs>
          <w:tab w:val="num" w:pos="1000"/>
        </w:tabs>
        <w:rPr>
          <w:rFonts w:ascii="Palatino Linotype" w:hAnsi="Palatino Linotype"/>
          <w:b w:val="0"/>
        </w:rPr>
      </w:pPr>
      <w:r w:rsidRPr="00465B7E">
        <w:rPr>
          <w:rFonts w:ascii="Palatino Linotype" w:hAnsi="Palatino Linotype"/>
          <w:b w:val="0"/>
        </w:rPr>
        <w:t xml:space="preserve">The </w:t>
      </w:r>
      <w:r w:rsidR="002416E1" w:rsidRPr="00465B7E">
        <w:rPr>
          <w:rFonts w:ascii="Palatino Linotype" w:hAnsi="Palatino Linotype"/>
          <w:b w:val="0"/>
        </w:rPr>
        <w:t xml:space="preserve">primary tasks </w:t>
      </w:r>
      <w:r w:rsidR="00126202">
        <w:rPr>
          <w:rFonts w:ascii="Palatino Linotype" w:hAnsi="Palatino Linotype"/>
          <w:b w:val="0"/>
        </w:rPr>
        <w:t xml:space="preserve">that need </w:t>
      </w:r>
      <w:r w:rsidR="002416E1" w:rsidRPr="00465B7E">
        <w:rPr>
          <w:rFonts w:ascii="Palatino Linotype" w:hAnsi="Palatino Linotype"/>
          <w:b w:val="0"/>
        </w:rPr>
        <w:t xml:space="preserve">to be completed </w:t>
      </w:r>
      <w:r w:rsidRPr="00465B7E">
        <w:rPr>
          <w:rFonts w:ascii="Palatino Linotype" w:hAnsi="Palatino Linotype"/>
          <w:b w:val="0"/>
        </w:rPr>
        <w:t>to accomplish the stated objectives are</w:t>
      </w:r>
      <w:r w:rsidR="00C913EB" w:rsidRPr="00465B7E">
        <w:rPr>
          <w:rFonts w:ascii="Palatino Linotype" w:hAnsi="Palatino Linotype"/>
          <w:b w:val="0"/>
        </w:rPr>
        <w:t>:</w:t>
      </w:r>
    </w:p>
    <w:p w:rsidR="00465B7E" w:rsidRPr="00465B7E" w:rsidRDefault="00465B7E" w:rsidP="00465B7E">
      <w:pPr>
        <w:pStyle w:val="TaskHeading"/>
        <w:numPr>
          <w:ilvl w:val="0"/>
          <w:numId w:val="22"/>
        </w:numPr>
        <w:rPr>
          <w:rFonts w:ascii="Palatino Linotype" w:hAnsi="Palatino Linotype"/>
          <w:b w:val="0"/>
        </w:rPr>
      </w:pPr>
      <w:r w:rsidRPr="00465B7E">
        <w:rPr>
          <w:rFonts w:ascii="Palatino Linotype" w:hAnsi="Palatino Linotype"/>
          <w:b w:val="0"/>
        </w:rPr>
        <w:t>A</w:t>
      </w:r>
      <w:r w:rsidR="00126202">
        <w:rPr>
          <w:rFonts w:ascii="Palatino Linotype" w:hAnsi="Palatino Linotype"/>
          <w:b w:val="0"/>
        </w:rPr>
        <w:t>cquire the a</w:t>
      </w:r>
      <w:r w:rsidRPr="00465B7E">
        <w:rPr>
          <w:rFonts w:ascii="Palatino Linotype" w:hAnsi="Palatino Linotype"/>
          <w:b w:val="0"/>
        </w:rPr>
        <w:t>nnual (2010) county</w:t>
      </w:r>
      <w:r w:rsidR="00725781">
        <w:rPr>
          <w:rFonts w:ascii="Palatino Linotype" w:hAnsi="Palatino Linotype"/>
          <w:b w:val="0"/>
        </w:rPr>
        <w:t xml:space="preserve"> </w:t>
      </w:r>
      <w:r w:rsidRPr="00465B7E">
        <w:rPr>
          <w:rFonts w:ascii="Palatino Linotype" w:hAnsi="Palatino Linotype"/>
          <w:b w:val="0"/>
        </w:rPr>
        <w:t>withdrawal</w:t>
      </w:r>
      <w:r w:rsidR="00126202">
        <w:rPr>
          <w:rFonts w:ascii="Palatino Linotype" w:hAnsi="Palatino Linotype"/>
          <w:b w:val="0"/>
        </w:rPr>
        <w:t xml:space="preserve"> data</w:t>
      </w:r>
      <w:r w:rsidRPr="00465B7E">
        <w:rPr>
          <w:rFonts w:ascii="Palatino Linotype" w:hAnsi="Palatino Linotype"/>
          <w:b w:val="0"/>
        </w:rPr>
        <w:t xml:space="preserve"> for public-supply, self-suppl</w:t>
      </w:r>
      <w:r w:rsidR="00126202">
        <w:rPr>
          <w:rFonts w:ascii="Palatino Linotype" w:hAnsi="Palatino Linotype"/>
          <w:b w:val="0"/>
        </w:rPr>
        <w:t>ied</w:t>
      </w:r>
      <w:r w:rsidRPr="00465B7E">
        <w:rPr>
          <w:rFonts w:ascii="Palatino Linotype" w:hAnsi="Palatino Linotype"/>
          <w:b w:val="0"/>
        </w:rPr>
        <w:t xml:space="preserve"> domestic</w:t>
      </w:r>
      <w:r w:rsidR="00725781">
        <w:rPr>
          <w:rFonts w:ascii="Palatino Linotype" w:hAnsi="Palatino Linotype"/>
          <w:b w:val="0"/>
        </w:rPr>
        <w:t>,</w:t>
      </w:r>
      <w:r w:rsidRPr="00465B7E">
        <w:rPr>
          <w:rFonts w:ascii="Palatino Linotype" w:hAnsi="Palatino Linotype"/>
          <w:b w:val="0"/>
        </w:rPr>
        <w:t xml:space="preserve"> public</w:t>
      </w:r>
      <w:r w:rsidR="00126202">
        <w:rPr>
          <w:rFonts w:ascii="Palatino Linotype" w:hAnsi="Palatino Linotype"/>
          <w:b w:val="0"/>
        </w:rPr>
        <w:t>ly</w:t>
      </w:r>
      <w:r w:rsidRPr="00465B7E">
        <w:rPr>
          <w:rFonts w:ascii="Palatino Linotype" w:hAnsi="Palatino Linotype"/>
          <w:b w:val="0"/>
        </w:rPr>
        <w:t>-suppl</w:t>
      </w:r>
      <w:r w:rsidR="00126202">
        <w:rPr>
          <w:rFonts w:ascii="Palatino Linotype" w:hAnsi="Palatino Linotype"/>
          <w:b w:val="0"/>
        </w:rPr>
        <w:t>ied</w:t>
      </w:r>
      <w:r w:rsidRPr="00465B7E">
        <w:rPr>
          <w:rFonts w:ascii="Palatino Linotype" w:hAnsi="Palatino Linotype"/>
          <w:b w:val="0"/>
        </w:rPr>
        <w:t xml:space="preserve"> deliveries to domestic, self-suppl</w:t>
      </w:r>
      <w:r w:rsidR="00126202">
        <w:rPr>
          <w:rFonts w:ascii="Palatino Linotype" w:hAnsi="Palatino Linotype"/>
          <w:b w:val="0"/>
        </w:rPr>
        <w:t>ied</w:t>
      </w:r>
      <w:r w:rsidRPr="00465B7E">
        <w:rPr>
          <w:rFonts w:ascii="Palatino Linotype" w:hAnsi="Palatino Linotype"/>
          <w:b w:val="0"/>
        </w:rPr>
        <w:t xml:space="preserve"> industrial, irrigation, livestock, mining, aquaculture,</w:t>
      </w:r>
      <w:r w:rsidR="00725781">
        <w:rPr>
          <w:rFonts w:ascii="Palatino Linotype" w:hAnsi="Palatino Linotype"/>
          <w:b w:val="0"/>
        </w:rPr>
        <w:t xml:space="preserve"> and</w:t>
      </w:r>
      <w:r w:rsidRPr="00465B7E">
        <w:rPr>
          <w:rFonts w:ascii="Palatino Linotype" w:hAnsi="Palatino Linotype"/>
          <w:b w:val="0"/>
        </w:rPr>
        <w:t xml:space="preserve"> thermoelectric power.  </w:t>
      </w:r>
      <w:proofErr w:type="spellStart"/>
      <w:r w:rsidR="00126202">
        <w:rPr>
          <w:rFonts w:ascii="Palatino Linotype" w:hAnsi="Palatino Linotype"/>
          <w:b w:val="0"/>
        </w:rPr>
        <w:t>Reaggregate</w:t>
      </w:r>
      <w:proofErr w:type="spellEnd"/>
      <w:r w:rsidR="00126202">
        <w:rPr>
          <w:rFonts w:ascii="Palatino Linotype" w:hAnsi="Palatino Linotype"/>
          <w:b w:val="0"/>
        </w:rPr>
        <w:t xml:space="preserve"> these data for each HUC-8 sub-basin </w:t>
      </w:r>
      <w:r w:rsidR="00E9627D">
        <w:rPr>
          <w:rFonts w:ascii="Palatino Linotype" w:hAnsi="Palatino Linotype"/>
          <w:b w:val="0"/>
        </w:rPr>
        <w:t xml:space="preserve">in </w:t>
      </w:r>
      <w:r w:rsidR="00126202">
        <w:rPr>
          <w:rFonts w:ascii="Palatino Linotype" w:hAnsi="Palatino Linotype"/>
          <w:b w:val="0"/>
        </w:rPr>
        <w:t>the study area.</w:t>
      </w:r>
    </w:p>
    <w:p w:rsidR="00C913EB" w:rsidRDefault="00465B7E" w:rsidP="00465B7E">
      <w:pPr>
        <w:pStyle w:val="TaskHeading"/>
        <w:numPr>
          <w:ilvl w:val="0"/>
          <w:numId w:val="22"/>
        </w:numPr>
        <w:rPr>
          <w:rFonts w:ascii="Palatino Linotype" w:hAnsi="Palatino Linotype"/>
          <w:b w:val="0"/>
        </w:rPr>
      </w:pPr>
      <w:r w:rsidRPr="00091CA5">
        <w:rPr>
          <w:rFonts w:ascii="Palatino Linotype" w:hAnsi="Palatino Linotype"/>
          <w:b w:val="0"/>
        </w:rPr>
        <w:t xml:space="preserve">At </w:t>
      </w:r>
      <w:r w:rsidR="00725781">
        <w:rPr>
          <w:rFonts w:ascii="Palatino Linotype" w:hAnsi="Palatino Linotype"/>
          <w:b w:val="0"/>
        </w:rPr>
        <w:t xml:space="preserve">a </w:t>
      </w:r>
      <w:r w:rsidRPr="00091CA5">
        <w:rPr>
          <w:rFonts w:ascii="Palatino Linotype" w:hAnsi="Palatino Linotype"/>
          <w:b w:val="0"/>
        </w:rPr>
        <w:t>seasonal or annual time</w:t>
      </w:r>
      <w:r w:rsidR="00725781">
        <w:rPr>
          <w:rFonts w:ascii="Palatino Linotype" w:hAnsi="Palatino Linotype"/>
          <w:b w:val="0"/>
        </w:rPr>
        <w:t xml:space="preserve"> step</w:t>
      </w:r>
      <w:r w:rsidRPr="00091CA5">
        <w:rPr>
          <w:rFonts w:ascii="Palatino Linotype" w:hAnsi="Palatino Linotype"/>
          <w:b w:val="0"/>
        </w:rPr>
        <w:t xml:space="preserve">, characterize </w:t>
      </w:r>
      <w:r w:rsidR="00CA16E0">
        <w:rPr>
          <w:rFonts w:ascii="Palatino Linotype" w:hAnsi="Palatino Linotype"/>
          <w:b w:val="0"/>
        </w:rPr>
        <w:t xml:space="preserve">basin-wide </w:t>
      </w:r>
      <w:r w:rsidRPr="00091CA5">
        <w:rPr>
          <w:rFonts w:ascii="Palatino Linotype" w:hAnsi="Palatino Linotype"/>
          <w:b w:val="0"/>
        </w:rPr>
        <w:t>uses that exist by</w:t>
      </w:r>
      <w:r w:rsidR="00725781">
        <w:rPr>
          <w:rFonts w:ascii="Palatino Linotype" w:hAnsi="Palatino Linotype"/>
          <w:b w:val="0"/>
        </w:rPr>
        <w:t xml:space="preserve"> HUC-8</w:t>
      </w:r>
      <w:r w:rsidRPr="00091CA5">
        <w:rPr>
          <w:rFonts w:ascii="Palatino Linotype" w:hAnsi="Palatino Linotype"/>
          <w:b w:val="0"/>
        </w:rPr>
        <w:t xml:space="preserve"> basin</w:t>
      </w:r>
      <w:r w:rsidR="001061CE">
        <w:rPr>
          <w:rFonts w:ascii="Palatino Linotype" w:hAnsi="Palatino Linotype"/>
          <w:b w:val="0"/>
        </w:rPr>
        <w:t>,</w:t>
      </w:r>
      <w:r w:rsidRPr="00091CA5">
        <w:rPr>
          <w:rFonts w:ascii="Palatino Linotype" w:hAnsi="Palatino Linotype"/>
          <w:b w:val="0"/>
        </w:rPr>
        <w:t xml:space="preserve"> or site</w:t>
      </w:r>
      <w:r w:rsidR="001061CE">
        <w:rPr>
          <w:rFonts w:ascii="Palatino Linotype" w:hAnsi="Palatino Linotype"/>
          <w:b w:val="0"/>
        </w:rPr>
        <w:t>-specific</w:t>
      </w:r>
      <w:r w:rsidRPr="00091CA5">
        <w:rPr>
          <w:rFonts w:ascii="Palatino Linotype" w:hAnsi="Palatino Linotype"/>
          <w:b w:val="0"/>
        </w:rPr>
        <w:t xml:space="preserve"> if possible, </w:t>
      </w:r>
      <w:r w:rsidR="001061CE">
        <w:rPr>
          <w:rFonts w:ascii="Palatino Linotype" w:hAnsi="Palatino Linotype"/>
          <w:b w:val="0"/>
        </w:rPr>
        <w:t xml:space="preserve">otherwise </w:t>
      </w:r>
      <w:r w:rsidRPr="00091CA5">
        <w:rPr>
          <w:rFonts w:ascii="Palatino Linotype" w:hAnsi="Palatino Linotype"/>
          <w:b w:val="0"/>
        </w:rPr>
        <w:t>county</w:t>
      </w:r>
      <w:r w:rsidR="001061CE">
        <w:rPr>
          <w:rFonts w:ascii="Palatino Linotype" w:hAnsi="Palatino Linotype"/>
          <w:b w:val="0"/>
        </w:rPr>
        <w:t>–level data will be anticipated as the base dataset</w:t>
      </w:r>
      <w:r w:rsidRPr="00091CA5">
        <w:rPr>
          <w:rFonts w:ascii="Palatino Linotype" w:hAnsi="Palatino Linotype"/>
          <w:b w:val="0"/>
        </w:rPr>
        <w:t>.</w:t>
      </w:r>
      <w:r w:rsidR="00E9627D">
        <w:rPr>
          <w:rFonts w:ascii="Palatino Linotype" w:hAnsi="Palatino Linotype"/>
          <w:b w:val="0"/>
        </w:rPr>
        <w:t xml:space="preserve"> Store these data in SWUDS</w:t>
      </w:r>
      <w:r w:rsidR="001061CE">
        <w:rPr>
          <w:rFonts w:ascii="Palatino Linotype" w:hAnsi="Palatino Linotype"/>
          <w:b w:val="0"/>
        </w:rPr>
        <w:t xml:space="preserve"> or AWUDS (Aggregated Water Use Database System)</w:t>
      </w:r>
      <w:r w:rsidR="00F833A9">
        <w:rPr>
          <w:rFonts w:ascii="Palatino Linotype" w:hAnsi="Palatino Linotype"/>
          <w:b w:val="0"/>
        </w:rPr>
        <w:t xml:space="preserve"> and build integration with a centralized data portal for the CRBFAS</w:t>
      </w:r>
      <w:r w:rsidR="00E9627D">
        <w:rPr>
          <w:rFonts w:ascii="Palatino Linotype" w:hAnsi="Palatino Linotype"/>
          <w:b w:val="0"/>
        </w:rPr>
        <w:t>.</w:t>
      </w:r>
    </w:p>
    <w:p w:rsidR="00CA16E0" w:rsidRPr="00CA16E0" w:rsidRDefault="00CA16E0" w:rsidP="00CA16E0">
      <w:pPr>
        <w:pStyle w:val="TaskHeading"/>
        <w:numPr>
          <w:ilvl w:val="0"/>
          <w:numId w:val="22"/>
        </w:numPr>
        <w:rPr>
          <w:rFonts w:ascii="Palatino Linotype" w:hAnsi="Palatino Linotype"/>
          <w:b w:val="0"/>
        </w:rPr>
      </w:pPr>
      <w:r>
        <w:rPr>
          <w:rFonts w:ascii="Palatino Linotype" w:hAnsi="Palatino Linotype"/>
          <w:b w:val="0"/>
        </w:rPr>
        <w:t xml:space="preserve">Acquire remotely sensed measurements of evapotranspiration from the </w:t>
      </w:r>
      <w:proofErr w:type="spellStart"/>
      <w:r>
        <w:rPr>
          <w:rFonts w:ascii="Palatino Linotype" w:hAnsi="Palatino Linotype"/>
          <w:b w:val="0"/>
        </w:rPr>
        <w:t>Hydroclimatic</w:t>
      </w:r>
      <w:proofErr w:type="spellEnd"/>
      <w:r>
        <w:rPr>
          <w:rFonts w:ascii="Palatino Linotype" w:hAnsi="Palatino Linotype"/>
          <w:b w:val="0"/>
        </w:rPr>
        <w:t xml:space="preserve"> Variables component of this study and calculate consumptive use for irrigated agriculture. Apportion residual to environmental return flows in either surface water </w:t>
      </w:r>
      <w:r w:rsidR="00E9627D">
        <w:rPr>
          <w:rFonts w:ascii="Palatino Linotype" w:hAnsi="Palatino Linotype"/>
          <w:b w:val="0"/>
        </w:rPr>
        <w:t>or</w:t>
      </w:r>
      <w:r>
        <w:rPr>
          <w:rFonts w:ascii="Palatino Linotype" w:hAnsi="Palatino Linotype"/>
          <w:b w:val="0"/>
        </w:rPr>
        <w:t xml:space="preserve"> groundwater.  Determine consumptive use for other major water use sectors</w:t>
      </w:r>
      <w:r w:rsidR="00E9627D">
        <w:rPr>
          <w:rFonts w:ascii="Palatino Linotype" w:hAnsi="Palatino Linotype"/>
          <w:b w:val="0"/>
        </w:rPr>
        <w:t xml:space="preserve"> (public supply and self-supplied domestic)</w:t>
      </w:r>
      <w:r>
        <w:rPr>
          <w:rFonts w:ascii="Palatino Linotype" w:hAnsi="Palatino Linotype"/>
          <w:b w:val="0"/>
        </w:rPr>
        <w:t xml:space="preserve"> by difference or statistical means (e.g. population served).</w:t>
      </w:r>
    </w:p>
    <w:p w:rsidR="00465B7E" w:rsidRDefault="00CA16E0" w:rsidP="00465B7E">
      <w:pPr>
        <w:pStyle w:val="TaskHeading"/>
        <w:numPr>
          <w:ilvl w:val="0"/>
          <w:numId w:val="22"/>
        </w:numPr>
        <w:rPr>
          <w:rFonts w:ascii="Palatino Linotype" w:hAnsi="Palatino Linotype"/>
          <w:b w:val="0"/>
        </w:rPr>
      </w:pPr>
      <w:r>
        <w:rPr>
          <w:rFonts w:ascii="Palatino Linotype" w:hAnsi="Palatino Linotype"/>
          <w:b w:val="0"/>
        </w:rPr>
        <w:t>Acquire t</w:t>
      </w:r>
      <w:r w:rsidR="00465B7E" w:rsidRPr="00091CA5">
        <w:rPr>
          <w:rFonts w:ascii="Palatino Linotype" w:hAnsi="Palatino Linotype"/>
          <w:b w:val="0"/>
        </w:rPr>
        <w:t>hermoelectric power generation location</w:t>
      </w:r>
      <w:r>
        <w:rPr>
          <w:rFonts w:ascii="Palatino Linotype" w:hAnsi="Palatino Linotype"/>
          <w:b w:val="0"/>
        </w:rPr>
        <w:t xml:space="preserve"> and water-use data</w:t>
      </w:r>
      <w:r w:rsidR="00465B7E" w:rsidRPr="00091CA5">
        <w:rPr>
          <w:rFonts w:ascii="Palatino Linotype" w:hAnsi="Palatino Linotype"/>
          <w:b w:val="0"/>
        </w:rPr>
        <w:t xml:space="preserve"> from Hutson team. Store withdrawals and power generation, with coefficients of use, for 2010, by site in SWUDS.</w:t>
      </w:r>
    </w:p>
    <w:p w:rsidR="00465B7E" w:rsidRDefault="00CA16E0" w:rsidP="00465B7E">
      <w:pPr>
        <w:pStyle w:val="TaskHeading"/>
        <w:numPr>
          <w:ilvl w:val="0"/>
          <w:numId w:val="22"/>
        </w:numPr>
        <w:rPr>
          <w:rFonts w:ascii="Palatino Linotype" w:hAnsi="Palatino Linotype"/>
          <w:b w:val="0"/>
        </w:rPr>
      </w:pPr>
      <w:r>
        <w:rPr>
          <w:rFonts w:ascii="Palatino Linotype" w:hAnsi="Palatino Linotype"/>
          <w:b w:val="0"/>
        </w:rPr>
        <w:t>Compile p</w:t>
      </w:r>
      <w:r w:rsidR="00465B7E" w:rsidRPr="00091CA5">
        <w:rPr>
          <w:rFonts w:ascii="Palatino Linotype" w:hAnsi="Palatino Linotype"/>
          <w:b w:val="0"/>
        </w:rPr>
        <w:t>roduced</w:t>
      </w:r>
      <w:r>
        <w:rPr>
          <w:rFonts w:ascii="Palatino Linotype" w:hAnsi="Palatino Linotype"/>
          <w:b w:val="0"/>
        </w:rPr>
        <w:t>-</w:t>
      </w:r>
      <w:r w:rsidR="00465B7E" w:rsidRPr="00091CA5">
        <w:rPr>
          <w:rFonts w:ascii="Palatino Linotype" w:hAnsi="Palatino Linotype"/>
          <w:b w:val="0"/>
        </w:rPr>
        <w:t>water</w:t>
      </w:r>
      <w:r>
        <w:rPr>
          <w:rFonts w:ascii="Palatino Linotype" w:hAnsi="Palatino Linotype"/>
          <w:b w:val="0"/>
        </w:rPr>
        <w:t xml:space="preserve"> extractions and disposals</w:t>
      </w:r>
      <w:r w:rsidR="00465B7E" w:rsidRPr="00091CA5">
        <w:rPr>
          <w:rFonts w:ascii="Palatino Linotype" w:hAnsi="Palatino Linotype"/>
          <w:b w:val="0"/>
        </w:rPr>
        <w:t xml:space="preserve"> from energy development (coal-bed methane) or coal extractions using coefficients or reports.</w:t>
      </w:r>
    </w:p>
    <w:p w:rsidR="00CA16E0" w:rsidRDefault="00CA16E0" w:rsidP="00CA16E0">
      <w:pPr>
        <w:pStyle w:val="TaskHeading"/>
        <w:numPr>
          <w:ilvl w:val="0"/>
          <w:numId w:val="22"/>
        </w:numPr>
        <w:rPr>
          <w:rFonts w:ascii="Palatino Linotype" w:hAnsi="Palatino Linotype"/>
          <w:b w:val="0"/>
        </w:rPr>
      </w:pPr>
      <w:r>
        <w:rPr>
          <w:rFonts w:ascii="Palatino Linotype" w:hAnsi="Palatino Linotype"/>
          <w:b w:val="0"/>
        </w:rPr>
        <w:lastRenderedPageBreak/>
        <w:t>For</w:t>
      </w:r>
      <w:r w:rsidR="00F0407A">
        <w:rPr>
          <w:rFonts w:ascii="Palatino Linotype" w:hAnsi="Palatino Linotype"/>
          <w:b w:val="0"/>
        </w:rPr>
        <w:t xml:space="preserve"> 2-3</w:t>
      </w:r>
      <w:r>
        <w:rPr>
          <w:rFonts w:ascii="Palatino Linotype" w:hAnsi="Palatino Linotype"/>
          <w:b w:val="0"/>
        </w:rPr>
        <w:t xml:space="preserve"> selected sub-basins, m</w:t>
      </w:r>
      <w:r w:rsidRPr="00091CA5">
        <w:rPr>
          <w:rFonts w:ascii="Palatino Linotype" w:hAnsi="Palatino Linotype"/>
          <w:b w:val="0"/>
        </w:rPr>
        <w:t xml:space="preserve">ap </w:t>
      </w:r>
      <w:r>
        <w:rPr>
          <w:rFonts w:ascii="Palatino Linotype" w:hAnsi="Palatino Linotype"/>
          <w:b w:val="0"/>
        </w:rPr>
        <w:t xml:space="preserve">surface-water </w:t>
      </w:r>
      <w:r w:rsidRPr="00091CA5">
        <w:rPr>
          <w:rFonts w:ascii="Palatino Linotype" w:hAnsi="Palatino Linotype"/>
          <w:b w:val="0"/>
        </w:rPr>
        <w:t>diversions,</w:t>
      </w:r>
      <w:r>
        <w:rPr>
          <w:rFonts w:ascii="Palatino Linotype" w:hAnsi="Palatino Linotype"/>
          <w:b w:val="0"/>
        </w:rPr>
        <w:t xml:space="preserve"> groundwater extraction sites, water</w:t>
      </w:r>
      <w:r w:rsidRPr="00091CA5">
        <w:rPr>
          <w:rFonts w:ascii="Palatino Linotype" w:hAnsi="Palatino Linotype"/>
          <w:b w:val="0"/>
        </w:rPr>
        <w:t xml:space="preserve"> transports and transfers between basins</w:t>
      </w:r>
      <w:r>
        <w:rPr>
          <w:rFonts w:ascii="Palatino Linotype" w:hAnsi="Palatino Linotype"/>
          <w:b w:val="0"/>
        </w:rPr>
        <w:t>, and environmental return flows</w:t>
      </w:r>
      <w:r w:rsidRPr="00091CA5">
        <w:rPr>
          <w:rFonts w:ascii="Palatino Linotype" w:hAnsi="Palatino Linotype"/>
          <w:b w:val="0"/>
        </w:rPr>
        <w:t>.</w:t>
      </w:r>
      <w:r w:rsidR="00E9627D">
        <w:rPr>
          <w:rFonts w:ascii="Palatino Linotype" w:hAnsi="Palatino Linotype"/>
          <w:b w:val="0"/>
        </w:rPr>
        <w:t xml:space="preserve"> Assign volumes and timing information to each mapped water manipulation site</w:t>
      </w:r>
      <w:r w:rsidRPr="00091CA5">
        <w:rPr>
          <w:rFonts w:ascii="Palatino Linotype" w:hAnsi="Palatino Linotype"/>
          <w:b w:val="0"/>
        </w:rPr>
        <w:t xml:space="preserve"> </w:t>
      </w:r>
      <w:r w:rsidR="00F0407A">
        <w:rPr>
          <w:rFonts w:ascii="Palatino Linotype" w:hAnsi="Palatino Linotype"/>
          <w:b w:val="0"/>
        </w:rPr>
        <w:t>(anticipate s</w:t>
      </w:r>
      <w:r w:rsidRPr="00091CA5">
        <w:rPr>
          <w:rFonts w:ascii="Palatino Linotype" w:hAnsi="Palatino Linotype"/>
          <w:b w:val="0"/>
        </w:rPr>
        <w:t>easonal timescale at best</w:t>
      </w:r>
      <w:r w:rsidR="00F0407A">
        <w:rPr>
          <w:rFonts w:ascii="Palatino Linotype" w:hAnsi="Palatino Linotype"/>
          <w:b w:val="0"/>
        </w:rPr>
        <w:t>)</w:t>
      </w:r>
      <w:r w:rsidRPr="00091CA5">
        <w:rPr>
          <w:rFonts w:ascii="Palatino Linotype" w:hAnsi="Palatino Linotype"/>
          <w:b w:val="0"/>
        </w:rPr>
        <w:t>.</w:t>
      </w:r>
    </w:p>
    <w:p w:rsidR="00CA16E0" w:rsidRDefault="00F0407A" w:rsidP="00465B7E">
      <w:pPr>
        <w:pStyle w:val="TaskHeading"/>
        <w:numPr>
          <w:ilvl w:val="0"/>
          <w:numId w:val="22"/>
        </w:numPr>
        <w:rPr>
          <w:rFonts w:ascii="Palatino Linotype" w:hAnsi="Palatino Linotype"/>
          <w:b w:val="0"/>
        </w:rPr>
      </w:pPr>
      <w:r>
        <w:rPr>
          <w:rFonts w:ascii="Palatino Linotype" w:hAnsi="Palatino Linotype"/>
          <w:b w:val="0"/>
        </w:rPr>
        <w:t>Work with “data delivery” team members to incorporate water-use/consumptive use data into on-line map-based data delivery and analysis tool.</w:t>
      </w:r>
    </w:p>
    <w:p w:rsidR="002416E1" w:rsidRPr="00465B7E" w:rsidRDefault="002416E1" w:rsidP="008826D8">
      <w:pPr>
        <w:rPr>
          <w:rFonts w:ascii="Palatino Linotype" w:hAnsi="Palatino Linotype"/>
        </w:rPr>
      </w:pPr>
    </w:p>
    <w:p w:rsidR="002416E1" w:rsidRPr="008826D8" w:rsidRDefault="002416E1" w:rsidP="008826D8"/>
    <w:p w:rsidR="008826D8" w:rsidRDefault="002416E1" w:rsidP="00E529ED">
      <w:pPr>
        <w:pStyle w:val="Heading1"/>
      </w:pPr>
      <w:r>
        <w:t>Task Timeline:</w:t>
      </w:r>
    </w:p>
    <w:tbl>
      <w:tblPr>
        <w:tblStyle w:val="TableGrid"/>
        <w:tblW w:w="0" w:type="auto"/>
        <w:tblLook w:val="04A0" w:firstRow="1" w:lastRow="0" w:firstColumn="1" w:lastColumn="0" w:noHBand="0" w:noVBand="1"/>
      </w:tblPr>
      <w:tblGrid>
        <w:gridCol w:w="2696"/>
        <w:gridCol w:w="430"/>
        <w:gridCol w:w="430"/>
        <w:gridCol w:w="430"/>
        <w:gridCol w:w="430"/>
        <w:gridCol w:w="430"/>
        <w:gridCol w:w="430"/>
        <w:gridCol w:w="430"/>
        <w:gridCol w:w="430"/>
        <w:gridCol w:w="430"/>
        <w:gridCol w:w="430"/>
        <w:gridCol w:w="430"/>
        <w:gridCol w:w="430"/>
        <w:gridCol w:w="430"/>
        <w:gridCol w:w="430"/>
        <w:gridCol w:w="430"/>
        <w:gridCol w:w="430"/>
      </w:tblGrid>
      <w:tr w:rsidR="002416E1" w:rsidTr="002416E1">
        <w:tc>
          <w:tcPr>
            <w:tcW w:w="2696" w:type="dxa"/>
            <w:vMerge w:val="restart"/>
          </w:tcPr>
          <w:p w:rsidR="002416E1" w:rsidRPr="002416E1" w:rsidRDefault="002416E1" w:rsidP="002416E1">
            <w:pPr>
              <w:pStyle w:val="Heading1"/>
              <w:jc w:val="center"/>
              <w:rPr>
                <w:sz w:val="24"/>
              </w:rPr>
            </w:pPr>
            <w:r w:rsidRPr="002416E1">
              <w:rPr>
                <w:sz w:val="24"/>
              </w:rPr>
              <w:t>Task Name</w:t>
            </w:r>
          </w:p>
        </w:tc>
        <w:tc>
          <w:tcPr>
            <w:tcW w:w="1720" w:type="dxa"/>
            <w:gridSpan w:val="4"/>
            <w:tcBorders>
              <w:bottom w:val="single" w:sz="4" w:space="0" w:color="auto"/>
            </w:tcBorders>
          </w:tcPr>
          <w:p w:rsidR="002416E1" w:rsidRPr="002416E1" w:rsidRDefault="002416E1" w:rsidP="008826D8">
            <w:pPr>
              <w:pStyle w:val="Heading1"/>
              <w:jc w:val="center"/>
              <w:rPr>
                <w:sz w:val="24"/>
              </w:rPr>
            </w:pPr>
            <w:r w:rsidRPr="002416E1">
              <w:rPr>
                <w:sz w:val="24"/>
              </w:rPr>
              <w:t>201</w:t>
            </w:r>
            <w:r w:rsidR="00EE4D88">
              <w:rPr>
                <w:sz w:val="24"/>
              </w:rPr>
              <w:t>1</w:t>
            </w:r>
          </w:p>
        </w:tc>
        <w:tc>
          <w:tcPr>
            <w:tcW w:w="1720" w:type="dxa"/>
            <w:gridSpan w:val="4"/>
            <w:tcBorders>
              <w:bottom w:val="single" w:sz="4" w:space="0" w:color="auto"/>
            </w:tcBorders>
          </w:tcPr>
          <w:p w:rsidR="002416E1" w:rsidRPr="002416E1" w:rsidRDefault="002416E1" w:rsidP="008826D8">
            <w:pPr>
              <w:pStyle w:val="Heading1"/>
              <w:jc w:val="center"/>
              <w:rPr>
                <w:sz w:val="24"/>
              </w:rPr>
            </w:pPr>
            <w:r w:rsidRPr="002416E1">
              <w:rPr>
                <w:sz w:val="24"/>
              </w:rPr>
              <w:t>201</w:t>
            </w:r>
            <w:r w:rsidR="00EE4D88">
              <w:rPr>
                <w:sz w:val="24"/>
              </w:rPr>
              <w:t>2</w:t>
            </w:r>
          </w:p>
        </w:tc>
        <w:tc>
          <w:tcPr>
            <w:tcW w:w="1720" w:type="dxa"/>
            <w:gridSpan w:val="4"/>
            <w:tcBorders>
              <w:bottom w:val="single" w:sz="4" w:space="0" w:color="auto"/>
            </w:tcBorders>
          </w:tcPr>
          <w:p w:rsidR="002416E1" w:rsidRPr="002416E1" w:rsidRDefault="002416E1" w:rsidP="008826D8">
            <w:pPr>
              <w:pStyle w:val="Heading1"/>
              <w:jc w:val="center"/>
              <w:rPr>
                <w:sz w:val="24"/>
              </w:rPr>
            </w:pPr>
            <w:r w:rsidRPr="002416E1">
              <w:rPr>
                <w:sz w:val="24"/>
              </w:rPr>
              <w:t>201</w:t>
            </w:r>
            <w:r w:rsidR="00EE4D88">
              <w:rPr>
                <w:sz w:val="24"/>
              </w:rPr>
              <w:t>3</w:t>
            </w:r>
          </w:p>
        </w:tc>
        <w:tc>
          <w:tcPr>
            <w:tcW w:w="1720" w:type="dxa"/>
            <w:gridSpan w:val="4"/>
            <w:tcBorders>
              <w:bottom w:val="single" w:sz="4" w:space="0" w:color="auto"/>
            </w:tcBorders>
          </w:tcPr>
          <w:p w:rsidR="002416E1" w:rsidRPr="002416E1" w:rsidRDefault="002416E1" w:rsidP="00F0056A">
            <w:pPr>
              <w:pStyle w:val="Heading1"/>
              <w:jc w:val="center"/>
              <w:rPr>
                <w:sz w:val="24"/>
              </w:rPr>
            </w:pPr>
            <w:r w:rsidRPr="002416E1">
              <w:rPr>
                <w:sz w:val="24"/>
              </w:rPr>
              <w:t>201</w:t>
            </w:r>
            <w:r w:rsidR="00EE4D88">
              <w:rPr>
                <w:sz w:val="24"/>
              </w:rPr>
              <w:t>4</w:t>
            </w:r>
          </w:p>
        </w:tc>
      </w:tr>
      <w:tr w:rsidR="002416E1" w:rsidTr="002416E1">
        <w:tc>
          <w:tcPr>
            <w:tcW w:w="2696" w:type="dxa"/>
            <w:vMerge/>
            <w:tcBorders>
              <w:bottom w:val="single" w:sz="12" w:space="0" w:color="auto"/>
            </w:tcBorders>
          </w:tcPr>
          <w:p w:rsidR="002416E1" w:rsidRPr="008826D8" w:rsidRDefault="002416E1" w:rsidP="00E529ED">
            <w:pPr>
              <w:pStyle w:val="Heading1"/>
              <w:rPr>
                <w:sz w:val="16"/>
                <w:szCs w:val="16"/>
              </w:rPr>
            </w:pPr>
          </w:p>
        </w:tc>
        <w:tc>
          <w:tcPr>
            <w:tcW w:w="430" w:type="dxa"/>
            <w:tcBorders>
              <w:bottom w:val="single" w:sz="12" w:space="0" w:color="auto"/>
            </w:tcBorders>
          </w:tcPr>
          <w:p w:rsidR="002416E1" w:rsidRPr="008826D8" w:rsidRDefault="002416E1" w:rsidP="00E529ED">
            <w:pPr>
              <w:pStyle w:val="Heading1"/>
              <w:rPr>
                <w:sz w:val="16"/>
                <w:szCs w:val="16"/>
              </w:rPr>
            </w:pPr>
            <w:r>
              <w:rPr>
                <w:sz w:val="16"/>
                <w:szCs w:val="16"/>
              </w:rPr>
              <w:t>1Q</w:t>
            </w:r>
          </w:p>
        </w:tc>
        <w:tc>
          <w:tcPr>
            <w:tcW w:w="430" w:type="dxa"/>
            <w:tcBorders>
              <w:bottom w:val="single" w:sz="12" w:space="0" w:color="auto"/>
            </w:tcBorders>
          </w:tcPr>
          <w:p w:rsidR="002416E1" w:rsidRPr="008826D8" w:rsidRDefault="002416E1" w:rsidP="00E529ED">
            <w:pPr>
              <w:pStyle w:val="Heading1"/>
              <w:rPr>
                <w:sz w:val="16"/>
                <w:szCs w:val="16"/>
              </w:rPr>
            </w:pPr>
            <w:r>
              <w:rPr>
                <w:sz w:val="16"/>
                <w:szCs w:val="16"/>
              </w:rPr>
              <w:t>2Q</w:t>
            </w:r>
          </w:p>
        </w:tc>
        <w:tc>
          <w:tcPr>
            <w:tcW w:w="430" w:type="dxa"/>
            <w:tcBorders>
              <w:bottom w:val="single" w:sz="12" w:space="0" w:color="auto"/>
            </w:tcBorders>
          </w:tcPr>
          <w:p w:rsidR="002416E1" w:rsidRPr="008826D8" w:rsidRDefault="002416E1" w:rsidP="00E529ED">
            <w:pPr>
              <w:pStyle w:val="Heading1"/>
              <w:rPr>
                <w:sz w:val="16"/>
                <w:szCs w:val="16"/>
              </w:rPr>
            </w:pPr>
            <w:r>
              <w:rPr>
                <w:sz w:val="16"/>
                <w:szCs w:val="16"/>
              </w:rPr>
              <w:t>3Q</w:t>
            </w:r>
          </w:p>
        </w:tc>
        <w:tc>
          <w:tcPr>
            <w:tcW w:w="430" w:type="dxa"/>
            <w:tcBorders>
              <w:bottom w:val="single" w:sz="12" w:space="0" w:color="auto"/>
            </w:tcBorders>
          </w:tcPr>
          <w:p w:rsidR="002416E1" w:rsidRPr="008826D8" w:rsidRDefault="002416E1" w:rsidP="00E529ED">
            <w:pPr>
              <w:pStyle w:val="Heading1"/>
              <w:rPr>
                <w:sz w:val="16"/>
                <w:szCs w:val="16"/>
              </w:rPr>
            </w:pPr>
            <w:r>
              <w:rPr>
                <w:sz w:val="16"/>
                <w:szCs w:val="16"/>
              </w:rPr>
              <w:t>4Q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1Q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2Q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3Q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4Q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1Q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2Q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3Q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4Q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1Q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2Q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3Q</w:t>
            </w:r>
          </w:p>
        </w:tc>
        <w:tc>
          <w:tcPr>
            <w:tcW w:w="430" w:type="dxa"/>
            <w:tcBorders>
              <w:bottom w:val="single" w:sz="12" w:space="0" w:color="auto"/>
            </w:tcBorders>
          </w:tcPr>
          <w:p w:rsidR="002416E1" w:rsidRPr="008826D8" w:rsidRDefault="002416E1" w:rsidP="00075F7E">
            <w:pPr>
              <w:pStyle w:val="Heading1"/>
              <w:rPr>
                <w:sz w:val="16"/>
                <w:szCs w:val="16"/>
              </w:rPr>
            </w:pPr>
            <w:r>
              <w:rPr>
                <w:sz w:val="16"/>
                <w:szCs w:val="16"/>
              </w:rPr>
              <w:t>4Q</w:t>
            </w:r>
          </w:p>
        </w:tc>
      </w:tr>
      <w:tr w:rsidR="008826D8" w:rsidTr="002416E1">
        <w:tc>
          <w:tcPr>
            <w:tcW w:w="2696" w:type="dxa"/>
            <w:tcBorders>
              <w:top w:val="single" w:sz="12" w:space="0" w:color="auto"/>
            </w:tcBorders>
          </w:tcPr>
          <w:p w:rsidR="008826D8" w:rsidRPr="008826D8" w:rsidRDefault="00675118" w:rsidP="00E529ED">
            <w:pPr>
              <w:pStyle w:val="Heading1"/>
              <w:rPr>
                <w:sz w:val="16"/>
                <w:szCs w:val="16"/>
              </w:rPr>
            </w:pPr>
            <w:r>
              <w:rPr>
                <w:sz w:val="16"/>
                <w:szCs w:val="16"/>
              </w:rPr>
              <w:t>Water-use specialists in CRB States</w:t>
            </w: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675118" w:rsidP="00E529ED">
            <w:pPr>
              <w:pStyle w:val="Heading1"/>
              <w:rPr>
                <w:sz w:val="16"/>
                <w:szCs w:val="16"/>
              </w:rPr>
            </w:pPr>
            <w:proofErr w:type="gramStart"/>
            <w:r>
              <w:rPr>
                <w:sz w:val="16"/>
                <w:szCs w:val="16"/>
              </w:rPr>
              <w:t>x</w:t>
            </w:r>
            <w:proofErr w:type="gramEnd"/>
          </w:p>
        </w:tc>
        <w:tc>
          <w:tcPr>
            <w:tcW w:w="430" w:type="dxa"/>
            <w:tcBorders>
              <w:top w:val="single" w:sz="12" w:space="0" w:color="auto"/>
            </w:tcBorders>
          </w:tcPr>
          <w:p w:rsidR="008826D8" w:rsidRPr="008826D8" w:rsidRDefault="00675118" w:rsidP="00E529ED">
            <w:pPr>
              <w:pStyle w:val="Heading1"/>
              <w:rPr>
                <w:sz w:val="16"/>
                <w:szCs w:val="16"/>
              </w:rPr>
            </w:pPr>
            <w:proofErr w:type="gramStart"/>
            <w:r>
              <w:rPr>
                <w:sz w:val="16"/>
                <w:szCs w:val="16"/>
              </w:rPr>
              <w:t>x</w:t>
            </w:r>
            <w:proofErr w:type="gramEnd"/>
          </w:p>
        </w:tc>
        <w:tc>
          <w:tcPr>
            <w:tcW w:w="430" w:type="dxa"/>
            <w:tcBorders>
              <w:top w:val="single" w:sz="12" w:space="0" w:color="auto"/>
            </w:tcBorders>
          </w:tcPr>
          <w:p w:rsidR="008826D8" w:rsidRPr="008826D8" w:rsidRDefault="00675118" w:rsidP="00E529ED">
            <w:pPr>
              <w:pStyle w:val="Heading1"/>
              <w:rPr>
                <w:sz w:val="16"/>
                <w:szCs w:val="16"/>
              </w:rPr>
            </w:pPr>
            <w:proofErr w:type="gramStart"/>
            <w:r>
              <w:rPr>
                <w:sz w:val="16"/>
                <w:szCs w:val="16"/>
              </w:rPr>
              <w:t>x</w:t>
            </w:r>
            <w:proofErr w:type="gramEnd"/>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c>
          <w:tcPr>
            <w:tcW w:w="430" w:type="dxa"/>
            <w:tcBorders>
              <w:top w:val="single" w:sz="12" w:space="0" w:color="auto"/>
            </w:tcBorders>
          </w:tcPr>
          <w:p w:rsidR="008826D8" w:rsidRPr="008826D8" w:rsidRDefault="008826D8" w:rsidP="00E529ED">
            <w:pPr>
              <w:pStyle w:val="Heading1"/>
              <w:rPr>
                <w:sz w:val="16"/>
                <w:szCs w:val="16"/>
              </w:rPr>
            </w:pPr>
          </w:p>
        </w:tc>
      </w:tr>
      <w:tr w:rsidR="008826D8" w:rsidTr="002416E1">
        <w:tc>
          <w:tcPr>
            <w:tcW w:w="2696" w:type="dxa"/>
          </w:tcPr>
          <w:p w:rsidR="008826D8" w:rsidRPr="008826D8" w:rsidRDefault="00675118" w:rsidP="00E529ED">
            <w:pPr>
              <w:pStyle w:val="Heading1"/>
              <w:rPr>
                <w:sz w:val="16"/>
                <w:szCs w:val="16"/>
              </w:rPr>
            </w:pPr>
            <w:r>
              <w:rPr>
                <w:sz w:val="16"/>
                <w:szCs w:val="16"/>
              </w:rPr>
              <w:t>Public-supply database SWUDS</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675118" w:rsidP="00E529ED">
            <w:pPr>
              <w:pStyle w:val="Heading1"/>
              <w:rPr>
                <w:sz w:val="16"/>
                <w:szCs w:val="16"/>
              </w:rPr>
            </w:pPr>
            <w:proofErr w:type="gramStart"/>
            <w:r>
              <w:rPr>
                <w:sz w:val="16"/>
                <w:szCs w:val="16"/>
              </w:rPr>
              <w:t>x</w:t>
            </w:r>
            <w:proofErr w:type="gramEnd"/>
          </w:p>
        </w:tc>
        <w:tc>
          <w:tcPr>
            <w:tcW w:w="430" w:type="dxa"/>
          </w:tcPr>
          <w:p w:rsidR="008826D8" w:rsidRPr="008826D8" w:rsidRDefault="00675118" w:rsidP="00E529ED">
            <w:pPr>
              <w:pStyle w:val="Heading1"/>
              <w:rPr>
                <w:sz w:val="16"/>
                <w:szCs w:val="16"/>
              </w:rPr>
            </w:pPr>
            <w:proofErr w:type="gramStart"/>
            <w:r>
              <w:rPr>
                <w:sz w:val="16"/>
                <w:szCs w:val="16"/>
              </w:rPr>
              <w:t>x</w:t>
            </w:r>
            <w:proofErr w:type="gramEnd"/>
          </w:p>
        </w:tc>
        <w:tc>
          <w:tcPr>
            <w:tcW w:w="430" w:type="dxa"/>
          </w:tcPr>
          <w:p w:rsidR="008826D8" w:rsidRPr="008826D8" w:rsidRDefault="00675118" w:rsidP="00E529ED">
            <w:pPr>
              <w:pStyle w:val="Heading1"/>
              <w:rPr>
                <w:sz w:val="16"/>
                <w:szCs w:val="16"/>
              </w:rPr>
            </w:pPr>
            <w:proofErr w:type="gramStart"/>
            <w:r>
              <w:rPr>
                <w:sz w:val="16"/>
                <w:szCs w:val="16"/>
              </w:rPr>
              <w:t>x</w:t>
            </w:r>
            <w:proofErr w:type="gramEnd"/>
          </w:p>
        </w:tc>
        <w:tc>
          <w:tcPr>
            <w:tcW w:w="430" w:type="dxa"/>
          </w:tcPr>
          <w:p w:rsidR="008826D8" w:rsidRPr="008826D8" w:rsidRDefault="00675118" w:rsidP="00E529ED">
            <w:pPr>
              <w:pStyle w:val="Heading1"/>
              <w:rPr>
                <w:sz w:val="16"/>
                <w:szCs w:val="16"/>
              </w:rPr>
            </w:pPr>
            <w:proofErr w:type="gramStart"/>
            <w:r>
              <w:rPr>
                <w:sz w:val="16"/>
                <w:szCs w:val="16"/>
              </w:rPr>
              <w:t>x</w:t>
            </w:r>
            <w:proofErr w:type="gramEnd"/>
          </w:p>
        </w:tc>
        <w:tc>
          <w:tcPr>
            <w:tcW w:w="430" w:type="dxa"/>
          </w:tcPr>
          <w:p w:rsidR="008826D8" w:rsidRPr="008826D8" w:rsidRDefault="00675118"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r>
      <w:tr w:rsidR="008826D8" w:rsidTr="002416E1">
        <w:tc>
          <w:tcPr>
            <w:tcW w:w="2696" w:type="dxa"/>
          </w:tcPr>
          <w:p w:rsidR="008826D8" w:rsidRPr="008826D8" w:rsidRDefault="00F0407A" w:rsidP="00E529ED">
            <w:pPr>
              <w:pStyle w:val="Heading1"/>
              <w:rPr>
                <w:sz w:val="16"/>
                <w:szCs w:val="16"/>
              </w:rPr>
            </w:pPr>
            <w:r>
              <w:rPr>
                <w:sz w:val="16"/>
                <w:szCs w:val="16"/>
              </w:rPr>
              <w:t>ET and Consumptive Use</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AA3999" w:rsidP="00E529ED">
            <w:pPr>
              <w:pStyle w:val="Heading1"/>
              <w:rPr>
                <w:sz w:val="16"/>
                <w:szCs w:val="16"/>
              </w:rPr>
            </w:pPr>
            <w:r>
              <w:rPr>
                <w:sz w:val="16"/>
                <w:szCs w:val="16"/>
              </w:rPr>
              <w:t>X</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r>
      <w:tr w:rsidR="008826D8" w:rsidTr="002416E1">
        <w:tc>
          <w:tcPr>
            <w:tcW w:w="2696" w:type="dxa"/>
          </w:tcPr>
          <w:p w:rsidR="008826D8" w:rsidRPr="008826D8" w:rsidRDefault="00F0407A" w:rsidP="00E529ED">
            <w:pPr>
              <w:pStyle w:val="Heading1"/>
              <w:rPr>
                <w:sz w:val="16"/>
                <w:szCs w:val="16"/>
              </w:rPr>
            </w:pPr>
            <w:r>
              <w:rPr>
                <w:sz w:val="16"/>
                <w:szCs w:val="16"/>
              </w:rPr>
              <w:t>TE and Energy water use</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AA3999" w:rsidP="00E529ED">
            <w:pPr>
              <w:pStyle w:val="Heading1"/>
              <w:rPr>
                <w:sz w:val="16"/>
                <w:szCs w:val="16"/>
              </w:rPr>
            </w:pPr>
            <w:r>
              <w:rPr>
                <w:sz w:val="16"/>
                <w:szCs w:val="16"/>
              </w:rPr>
              <w:t>X</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r>
      <w:tr w:rsidR="008826D8" w:rsidTr="002416E1">
        <w:tc>
          <w:tcPr>
            <w:tcW w:w="2696" w:type="dxa"/>
          </w:tcPr>
          <w:p w:rsidR="008826D8" w:rsidRPr="008826D8" w:rsidRDefault="00F0407A" w:rsidP="00E529ED">
            <w:pPr>
              <w:pStyle w:val="Heading1"/>
              <w:rPr>
                <w:sz w:val="16"/>
                <w:szCs w:val="16"/>
              </w:rPr>
            </w:pPr>
            <w:r>
              <w:rPr>
                <w:sz w:val="16"/>
                <w:szCs w:val="16"/>
              </w:rPr>
              <w:t>Sub-basin detailed water use</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F833A9" w:rsidP="00E529ED">
            <w:pPr>
              <w:pStyle w:val="Heading1"/>
              <w:rPr>
                <w:sz w:val="16"/>
                <w:szCs w:val="16"/>
              </w:rPr>
            </w:pPr>
            <w:proofErr w:type="gramStart"/>
            <w:r>
              <w:rPr>
                <w:sz w:val="16"/>
                <w:szCs w:val="16"/>
              </w:rPr>
              <w:t>x</w:t>
            </w:r>
            <w:proofErr w:type="gramEnd"/>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r>
      <w:tr w:rsidR="008826D8" w:rsidTr="002416E1">
        <w:tc>
          <w:tcPr>
            <w:tcW w:w="2696" w:type="dxa"/>
          </w:tcPr>
          <w:p w:rsidR="008826D8" w:rsidRPr="008826D8" w:rsidRDefault="00F0407A" w:rsidP="00E529ED">
            <w:pPr>
              <w:pStyle w:val="Heading1"/>
              <w:rPr>
                <w:sz w:val="16"/>
                <w:szCs w:val="16"/>
              </w:rPr>
            </w:pPr>
            <w:r>
              <w:rPr>
                <w:sz w:val="16"/>
                <w:szCs w:val="16"/>
              </w:rPr>
              <w:t xml:space="preserve">Mapped </w:t>
            </w:r>
            <w:r w:rsidR="00E22713">
              <w:rPr>
                <w:sz w:val="16"/>
                <w:szCs w:val="16"/>
              </w:rPr>
              <w:t>water use i</w:t>
            </w:r>
            <w:r>
              <w:rPr>
                <w:sz w:val="16"/>
                <w:szCs w:val="16"/>
              </w:rPr>
              <w:t xml:space="preserve">n </w:t>
            </w:r>
            <w:proofErr w:type="gramStart"/>
            <w:r>
              <w:rPr>
                <w:sz w:val="16"/>
                <w:szCs w:val="16"/>
              </w:rPr>
              <w:t>NHDPlus</w:t>
            </w:r>
            <w:r w:rsidR="009025AD">
              <w:rPr>
                <w:sz w:val="16"/>
                <w:szCs w:val="16"/>
              </w:rPr>
              <w:t>(</w:t>
            </w:r>
            <w:proofErr w:type="gramEnd"/>
            <w:r w:rsidR="009025AD">
              <w:rPr>
                <w:sz w:val="16"/>
                <w:szCs w:val="16"/>
              </w:rPr>
              <w:t>points of diversion; IR/PS/IN)</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AA3999"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AA3999" w:rsidP="00E529ED">
            <w:pPr>
              <w:pStyle w:val="Heading1"/>
              <w:rPr>
                <w:sz w:val="16"/>
                <w:szCs w:val="16"/>
              </w:rPr>
            </w:pPr>
            <w:r>
              <w:rPr>
                <w:sz w:val="16"/>
                <w:szCs w:val="16"/>
              </w:rPr>
              <w:t>X</w:t>
            </w:r>
          </w:p>
        </w:tc>
        <w:tc>
          <w:tcPr>
            <w:tcW w:w="430" w:type="dxa"/>
          </w:tcPr>
          <w:p w:rsidR="008826D8" w:rsidRPr="008826D8" w:rsidRDefault="008826D8" w:rsidP="00E529ED">
            <w:pPr>
              <w:pStyle w:val="Heading1"/>
              <w:rPr>
                <w:sz w:val="16"/>
                <w:szCs w:val="16"/>
              </w:rPr>
            </w:pPr>
          </w:p>
        </w:tc>
      </w:tr>
      <w:tr w:rsidR="008826D8" w:rsidTr="002416E1">
        <w:tc>
          <w:tcPr>
            <w:tcW w:w="2696" w:type="dxa"/>
          </w:tcPr>
          <w:p w:rsidR="008826D8" w:rsidRPr="008826D8" w:rsidRDefault="00F833A9" w:rsidP="00E529ED">
            <w:pPr>
              <w:pStyle w:val="Heading1"/>
              <w:rPr>
                <w:sz w:val="16"/>
                <w:szCs w:val="16"/>
              </w:rPr>
            </w:pPr>
            <w:r>
              <w:rPr>
                <w:sz w:val="16"/>
                <w:szCs w:val="16"/>
              </w:rPr>
              <w:t>Irrigation withdrawals</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F833A9" w:rsidP="00E529ED">
            <w:pPr>
              <w:pStyle w:val="Heading1"/>
              <w:rPr>
                <w:sz w:val="16"/>
                <w:szCs w:val="16"/>
              </w:rPr>
            </w:pPr>
            <w:proofErr w:type="gramStart"/>
            <w:r>
              <w:rPr>
                <w:sz w:val="16"/>
                <w:szCs w:val="16"/>
              </w:rPr>
              <w:t>x</w:t>
            </w:r>
            <w:proofErr w:type="gramEnd"/>
          </w:p>
        </w:tc>
        <w:tc>
          <w:tcPr>
            <w:tcW w:w="430" w:type="dxa"/>
          </w:tcPr>
          <w:p w:rsidR="008826D8" w:rsidRPr="008826D8" w:rsidRDefault="00F833A9" w:rsidP="00E529ED">
            <w:pPr>
              <w:pStyle w:val="Heading1"/>
              <w:rPr>
                <w:sz w:val="16"/>
                <w:szCs w:val="16"/>
              </w:rPr>
            </w:pPr>
            <w:proofErr w:type="gramStart"/>
            <w:r>
              <w:rPr>
                <w:sz w:val="16"/>
                <w:szCs w:val="16"/>
              </w:rPr>
              <w:t>x</w:t>
            </w:r>
            <w:proofErr w:type="gramEnd"/>
          </w:p>
        </w:tc>
        <w:tc>
          <w:tcPr>
            <w:tcW w:w="430" w:type="dxa"/>
          </w:tcPr>
          <w:p w:rsidR="008826D8" w:rsidRPr="008826D8" w:rsidRDefault="00F833A9" w:rsidP="00E529ED">
            <w:pPr>
              <w:pStyle w:val="Heading1"/>
              <w:rPr>
                <w:sz w:val="16"/>
                <w:szCs w:val="16"/>
              </w:rPr>
            </w:pPr>
            <w:proofErr w:type="gramStart"/>
            <w:r>
              <w:rPr>
                <w:sz w:val="16"/>
                <w:szCs w:val="16"/>
              </w:rPr>
              <w:t>x</w:t>
            </w:r>
            <w:proofErr w:type="gramEnd"/>
          </w:p>
        </w:tc>
        <w:tc>
          <w:tcPr>
            <w:tcW w:w="430" w:type="dxa"/>
          </w:tcPr>
          <w:p w:rsidR="008826D8" w:rsidRPr="008826D8" w:rsidRDefault="00F833A9" w:rsidP="00E529ED">
            <w:pPr>
              <w:pStyle w:val="Heading1"/>
              <w:rPr>
                <w:sz w:val="16"/>
                <w:szCs w:val="16"/>
              </w:rPr>
            </w:pPr>
            <w:proofErr w:type="gramStart"/>
            <w:r>
              <w:rPr>
                <w:sz w:val="16"/>
                <w:szCs w:val="16"/>
              </w:rPr>
              <w:t>x</w:t>
            </w:r>
            <w:proofErr w:type="gramEnd"/>
          </w:p>
        </w:tc>
        <w:tc>
          <w:tcPr>
            <w:tcW w:w="430" w:type="dxa"/>
          </w:tcPr>
          <w:p w:rsidR="008826D8" w:rsidRPr="008826D8" w:rsidRDefault="00F833A9"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r>
      <w:tr w:rsidR="008826D8" w:rsidTr="002416E1">
        <w:tc>
          <w:tcPr>
            <w:tcW w:w="2696" w:type="dxa"/>
          </w:tcPr>
          <w:p w:rsidR="008826D8" w:rsidRPr="008826D8" w:rsidRDefault="00F833A9" w:rsidP="00E529ED">
            <w:pPr>
              <w:pStyle w:val="Heading1"/>
              <w:rPr>
                <w:sz w:val="16"/>
                <w:szCs w:val="16"/>
              </w:rPr>
            </w:pPr>
            <w:r>
              <w:rPr>
                <w:sz w:val="16"/>
                <w:szCs w:val="16"/>
              </w:rPr>
              <w:t xml:space="preserve">Point of return (PCS, </w:t>
            </w:r>
            <w:proofErr w:type="spellStart"/>
            <w:r>
              <w:rPr>
                <w:sz w:val="16"/>
                <w:szCs w:val="16"/>
              </w:rPr>
              <w:t>Mun</w:t>
            </w:r>
            <w:proofErr w:type="spellEnd"/>
            <w:r>
              <w:rPr>
                <w:sz w:val="16"/>
                <w:szCs w:val="16"/>
              </w:rPr>
              <w:t>/IN)</w:t>
            </w:r>
            <w:r w:rsidR="009025AD">
              <w:rPr>
                <w:sz w:val="16"/>
                <w:szCs w:val="16"/>
              </w:rPr>
              <w:t xml:space="preserve"> SWUDS</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9025AD" w:rsidP="00E529ED">
            <w:pPr>
              <w:pStyle w:val="Heading1"/>
              <w:rPr>
                <w:sz w:val="16"/>
                <w:szCs w:val="16"/>
              </w:rPr>
            </w:pPr>
            <w:proofErr w:type="gramStart"/>
            <w:r>
              <w:rPr>
                <w:sz w:val="16"/>
                <w:szCs w:val="16"/>
              </w:rPr>
              <w:t>x</w:t>
            </w:r>
            <w:proofErr w:type="gramEnd"/>
          </w:p>
        </w:tc>
        <w:tc>
          <w:tcPr>
            <w:tcW w:w="430" w:type="dxa"/>
          </w:tcPr>
          <w:p w:rsidR="008826D8" w:rsidRPr="008826D8" w:rsidRDefault="009025AD"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r>
      <w:tr w:rsidR="008826D8" w:rsidTr="002416E1">
        <w:tc>
          <w:tcPr>
            <w:tcW w:w="2696" w:type="dxa"/>
          </w:tcPr>
          <w:p w:rsidR="008826D8" w:rsidRPr="008826D8" w:rsidRDefault="009025AD" w:rsidP="00E529ED">
            <w:pPr>
              <w:pStyle w:val="Heading1"/>
              <w:rPr>
                <w:sz w:val="16"/>
                <w:szCs w:val="16"/>
              </w:rPr>
            </w:pPr>
            <w:r>
              <w:rPr>
                <w:sz w:val="16"/>
                <w:szCs w:val="16"/>
              </w:rPr>
              <w:t>Database portal development and data upload</w:t>
            </w: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9025AD"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9025AD" w:rsidP="00E529ED">
            <w:pPr>
              <w:pStyle w:val="Heading1"/>
              <w:rPr>
                <w:sz w:val="16"/>
                <w:szCs w:val="16"/>
              </w:rPr>
            </w:pPr>
            <w:proofErr w:type="gramStart"/>
            <w:r>
              <w:rPr>
                <w:sz w:val="16"/>
                <w:szCs w:val="16"/>
              </w:rPr>
              <w:t>x</w:t>
            </w:r>
            <w:proofErr w:type="gramEnd"/>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c>
          <w:tcPr>
            <w:tcW w:w="430" w:type="dxa"/>
          </w:tcPr>
          <w:p w:rsidR="008826D8" w:rsidRPr="008826D8" w:rsidRDefault="008826D8" w:rsidP="00E529ED">
            <w:pPr>
              <w:pStyle w:val="Heading1"/>
              <w:rPr>
                <w:sz w:val="16"/>
                <w:szCs w:val="16"/>
              </w:rPr>
            </w:pPr>
          </w:p>
        </w:tc>
      </w:tr>
      <w:tr w:rsidR="00F0407A" w:rsidTr="002416E1">
        <w:tc>
          <w:tcPr>
            <w:tcW w:w="2696"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r>
      <w:tr w:rsidR="00F0407A" w:rsidTr="002416E1">
        <w:tc>
          <w:tcPr>
            <w:tcW w:w="2696"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r>
      <w:tr w:rsidR="00F0407A" w:rsidTr="002416E1">
        <w:tc>
          <w:tcPr>
            <w:tcW w:w="2696"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r>
      <w:tr w:rsidR="00F0407A" w:rsidTr="002416E1">
        <w:tc>
          <w:tcPr>
            <w:tcW w:w="2696"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c>
          <w:tcPr>
            <w:tcW w:w="430" w:type="dxa"/>
          </w:tcPr>
          <w:p w:rsidR="00F0407A" w:rsidRPr="008826D8" w:rsidRDefault="00F0407A" w:rsidP="00E529ED">
            <w:pPr>
              <w:pStyle w:val="Heading1"/>
              <w:rPr>
                <w:sz w:val="16"/>
                <w:szCs w:val="16"/>
              </w:rPr>
            </w:pPr>
          </w:p>
        </w:tc>
      </w:tr>
    </w:tbl>
    <w:p w:rsidR="008826D8" w:rsidRDefault="008826D8" w:rsidP="00E529ED">
      <w:pPr>
        <w:pStyle w:val="Heading1"/>
      </w:pPr>
    </w:p>
    <w:p w:rsidR="00E529ED" w:rsidRDefault="00093633" w:rsidP="00093633">
      <w:pPr>
        <w:pStyle w:val="Heading1"/>
      </w:pPr>
      <w:r>
        <w:t>Deliverables</w:t>
      </w:r>
    </w:p>
    <w:p w:rsidR="00297437" w:rsidRPr="006D6D35" w:rsidRDefault="00C242C2" w:rsidP="00297437">
      <w:pPr>
        <w:numPr>
          <w:ilvl w:val="0"/>
          <w:numId w:val="16"/>
        </w:numPr>
        <w:rPr>
          <w:rFonts w:ascii="Palatino Linotype" w:hAnsi="Palatino Linotype"/>
        </w:rPr>
      </w:pPr>
      <w:r w:rsidRPr="006D6D35">
        <w:rPr>
          <w:rFonts w:ascii="Palatino Linotype" w:hAnsi="Palatino Linotype"/>
        </w:rPr>
        <w:t xml:space="preserve">Water-Use database compiled for entire study area </w:t>
      </w:r>
      <w:r w:rsidR="00E22713">
        <w:rPr>
          <w:rFonts w:ascii="Palatino Linotype" w:hAnsi="Palatino Linotype"/>
        </w:rPr>
        <w:t xml:space="preserve">and delineated </w:t>
      </w:r>
      <w:r w:rsidRPr="006D6D35">
        <w:rPr>
          <w:rFonts w:ascii="Palatino Linotype" w:hAnsi="Palatino Linotype"/>
        </w:rPr>
        <w:t xml:space="preserve">at the </w:t>
      </w:r>
      <w:r w:rsidR="00F833A9">
        <w:rPr>
          <w:rFonts w:ascii="Palatino Linotype" w:hAnsi="Palatino Linotype"/>
        </w:rPr>
        <w:t xml:space="preserve">county and </w:t>
      </w:r>
      <w:r w:rsidRPr="006D6D35">
        <w:rPr>
          <w:rFonts w:ascii="Palatino Linotype" w:hAnsi="Palatino Linotype"/>
        </w:rPr>
        <w:t xml:space="preserve">HUC-8 </w:t>
      </w:r>
      <w:r w:rsidR="00E22713">
        <w:rPr>
          <w:rFonts w:ascii="Palatino Linotype" w:hAnsi="Palatino Linotype"/>
        </w:rPr>
        <w:t>scale.</w:t>
      </w:r>
      <w:r w:rsidR="009025AD">
        <w:rPr>
          <w:rFonts w:ascii="Palatino Linotype" w:hAnsi="Palatino Linotype"/>
        </w:rPr>
        <w:t xml:space="preserve"> Withdrawals by source (groundwater/surface water), irrigated acres by system type, power generation, </w:t>
      </w:r>
      <w:proofErr w:type="gramStart"/>
      <w:r w:rsidR="009025AD">
        <w:rPr>
          <w:rFonts w:ascii="Palatino Linotype" w:hAnsi="Palatino Linotype"/>
        </w:rPr>
        <w:t>population</w:t>
      </w:r>
      <w:proofErr w:type="gramEnd"/>
      <w:r w:rsidR="009025AD">
        <w:rPr>
          <w:rFonts w:ascii="Palatino Linotype" w:hAnsi="Palatino Linotype"/>
        </w:rPr>
        <w:t xml:space="preserve"> served by public-supply and self-supply domestic population.</w:t>
      </w:r>
    </w:p>
    <w:p w:rsidR="006D6D35" w:rsidRPr="006D6D35" w:rsidRDefault="006D6D35" w:rsidP="00297437">
      <w:pPr>
        <w:numPr>
          <w:ilvl w:val="0"/>
          <w:numId w:val="16"/>
        </w:numPr>
        <w:rPr>
          <w:rFonts w:ascii="Palatino Linotype" w:hAnsi="Palatino Linotype"/>
        </w:rPr>
      </w:pPr>
      <w:r w:rsidRPr="006D6D35">
        <w:rPr>
          <w:rFonts w:ascii="Palatino Linotype" w:hAnsi="Palatino Linotype"/>
        </w:rPr>
        <w:t xml:space="preserve">Tabulated </w:t>
      </w:r>
      <w:r w:rsidR="009025AD">
        <w:rPr>
          <w:rFonts w:ascii="Palatino Linotype" w:hAnsi="Palatino Linotype"/>
        </w:rPr>
        <w:t>c</w:t>
      </w:r>
      <w:r w:rsidR="00C242C2" w:rsidRPr="006D6D35">
        <w:rPr>
          <w:rFonts w:ascii="Palatino Linotype" w:hAnsi="Palatino Linotype"/>
        </w:rPr>
        <w:t>onsumptive-</w:t>
      </w:r>
      <w:r w:rsidR="009025AD">
        <w:rPr>
          <w:rFonts w:ascii="Palatino Linotype" w:hAnsi="Palatino Linotype"/>
        </w:rPr>
        <w:t>u</w:t>
      </w:r>
      <w:r w:rsidR="00C242C2" w:rsidRPr="006D6D35">
        <w:rPr>
          <w:rFonts w:ascii="Palatino Linotype" w:hAnsi="Palatino Linotype"/>
        </w:rPr>
        <w:t>se estimates for public-supply, self-supplied</w:t>
      </w:r>
      <w:r w:rsidR="00E22713">
        <w:rPr>
          <w:rFonts w:ascii="Palatino Linotype" w:hAnsi="Palatino Linotype"/>
        </w:rPr>
        <w:t xml:space="preserve"> domestic</w:t>
      </w:r>
      <w:r w:rsidR="00C242C2" w:rsidRPr="006D6D35">
        <w:rPr>
          <w:rFonts w:ascii="Palatino Linotype" w:hAnsi="Palatino Linotype"/>
        </w:rPr>
        <w:t>,</w:t>
      </w:r>
      <w:r w:rsidR="00E22713">
        <w:rPr>
          <w:rFonts w:ascii="Palatino Linotype" w:hAnsi="Palatino Linotype"/>
        </w:rPr>
        <w:t xml:space="preserve"> </w:t>
      </w:r>
      <w:r w:rsidRPr="006D6D35">
        <w:rPr>
          <w:rFonts w:ascii="Palatino Linotype" w:hAnsi="Palatino Linotype"/>
        </w:rPr>
        <w:t>irrigated agriculture, and thermoelectric power uses.</w:t>
      </w:r>
    </w:p>
    <w:p w:rsidR="00C242C2" w:rsidRDefault="006D6D35" w:rsidP="00297437">
      <w:pPr>
        <w:numPr>
          <w:ilvl w:val="0"/>
          <w:numId w:val="16"/>
        </w:numPr>
        <w:rPr>
          <w:rFonts w:ascii="Palatino Linotype" w:hAnsi="Palatino Linotype"/>
        </w:rPr>
      </w:pPr>
      <w:r w:rsidRPr="006D6D35">
        <w:rPr>
          <w:rFonts w:ascii="Palatino Linotype" w:hAnsi="Palatino Linotype"/>
        </w:rPr>
        <w:t>Detailed water-use information for 2-3 sub-basin areas to be utilized in web-based data-delivery demonstration exercise.</w:t>
      </w:r>
      <w:r w:rsidR="00C242C2" w:rsidRPr="006D6D35">
        <w:rPr>
          <w:rFonts w:ascii="Palatino Linotype" w:hAnsi="Palatino Linotype"/>
        </w:rPr>
        <w:t xml:space="preserve"> </w:t>
      </w:r>
    </w:p>
    <w:p w:rsidR="007A361C" w:rsidRDefault="007A361C" w:rsidP="00297437">
      <w:pPr>
        <w:numPr>
          <w:ilvl w:val="0"/>
          <w:numId w:val="16"/>
        </w:numPr>
        <w:rPr>
          <w:rFonts w:ascii="Palatino Linotype" w:hAnsi="Palatino Linotype"/>
        </w:rPr>
      </w:pPr>
      <w:r>
        <w:rPr>
          <w:rFonts w:ascii="Palatino Linotype" w:hAnsi="Palatino Linotype"/>
        </w:rPr>
        <w:t>Fact sheet outlining water-use activities in CRBFAS; end of FY12</w:t>
      </w:r>
    </w:p>
    <w:p w:rsidR="007A361C" w:rsidRPr="006D6D35" w:rsidRDefault="007A361C" w:rsidP="00297437">
      <w:pPr>
        <w:numPr>
          <w:ilvl w:val="0"/>
          <w:numId w:val="16"/>
        </w:numPr>
        <w:rPr>
          <w:rFonts w:ascii="Palatino Linotype" w:hAnsi="Palatino Linotype"/>
        </w:rPr>
      </w:pPr>
      <w:r>
        <w:rPr>
          <w:rFonts w:ascii="Palatino Linotype" w:hAnsi="Palatino Linotype"/>
        </w:rPr>
        <w:t xml:space="preserve">SIR water-use report summarizing water-use, consumptive use, and </w:t>
      </w:r>
      <w:proofErr w:type="spellStart"/>
      <w:r>
        <w:rPr>
          <w:rFonts w:ascii="Palatino Linotype" w:hAnsi="Palatino Linotype"/>
        </w:rPr>
        <w:t>interbasin</w:t>
      </w:r>
      <w:proofErr w:type="spellEnd"/>
      <w:r>
        <w:rPr>
          <w:rFonts w:ascii="Palatino Linotype" w:hAnsi="Palatino Linotype"/>
        </w:rPr>
        <w:t xml:space="preserve"> transfers for 2010; end of FY1</w:t>
      </w:r>
      <w:r w:rsidR="004339A3">
        <w:rPr>
          <w:rFonts w:ascii="Palatino Linotype" w:hAnsi="Palatino Linotype"/>
        </w:rPr>
        <w:t>4</w:t>
      </w:r>
      <w:r>
        <w:rPr>
          <w:rFonts w:ascii="Palatino Linotype" w:hAnsi="Palatino Linotype"/>
        </w:rPr>
        <w:t>.</w:t>
      </w:r>
    </w:p>
    <w:p w:rsidR="00035B1F" w:rsidRDefault="00035B1F" w:rsidP="00093633"/>
    <w:p w:rsidR="00EE4D88" w:rsidRDefault="00EE4D88" w:rsidP="00093633"/>
    <w:p w:rsidR="00093633" w:rsidRDefault="00093633" w:rsidP="00093633">
      <w:pPr>
        <w:pStyle w:val="Heading1"/>
      </w:pPr>
      <w:r>
        <w:t>Personnel Requirements</w:t>
      </w:r>
    </w:p>
    <w:p w:rsidR="00093633" w:rsidRDefault="00093633" w:rsidP="00093633"/>
    <w:tbl>
      <w:tblPr>
        <w:tblW w:w="89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2714"/>
        <w:gridCol w:w="1377"/>
        <w:gridCol w:w="1334"/>
        <w:gridCol w:w="1440"/>
      </w:tblGrid>
      <w:tr w:rsidR="00627E19" w:rsidTr="008B2BC8">
        <w:trPr>
          <w:trHeight w:val="324"/>
        </w:trPr>
        <w:tc>
          <w:tcPr>
            <w:tcW w:w="2045" w:type="dxa"/>
          </w:tcPr>
          <w:p w:rsidR="00627E19" w:rsidRPr="00CF2A93" w:rsidRDefault="00EF1A9A" w:rsidP="00D56D1E">
            <w:pPr>
              <w:pStyle w:val="TableDescription"/>
            </w:pPr>
            <w:r>
              <w:lastRenderedPageBreak/>
              <w:t>Project</w:t>
            </w:r>
          </w:p>
        </w:tc>
        <w:tc>
          <w:tcPr>
            <w:tcW w:w="2714" w:type="dxa"/>
          </w:tcPr>
          <w:p w:rsidR="00627E19" w:rsidRPr="00CF2A93" w:rsidRDefault="00627E19" w:rsidP="00D56D1E">
            <w:pPr>
              <w:pStyle w:val="TableDescription"/>
            </w:pPr>
            <w:r w:rsidRPr="00CF2A93">
              <w:t>Task</w:t>
            </w:r>
            <w:r w:rsidR="00BF2B49">
              <w:t>s</w:t>
            </w:r>
          </w:p>
        </w:tc>
        <w:tc>
          <w:tcPr>
            <w:tcW w:w="1377" w:type="dxa"/>
          </w:tcPr>
          <w:p w:rsidR="00627E19" w:rsidRPr="00CF2A93" w:rsidRDefault="00627E19" w:rsidP="00D56D1E">
            <w:pPr>
              <w:pStyle w:val="TableDescription"/>
            </w:pPr>
            <w:r>
              <w:t>FY</w:t>
            </w:r>
            <w:r w:rsidR="00AA40F9">
              <w:t>1</w:t>
            </w:r>
            <w:r w:rsidR="004339A3">
              <w:t>2</w:t>
            </w:r>
          </w:p>
        </w:tc>
        <w:tc>
          <w:tcPr>
            <w:tcW w:w="1334" w:type="dxa"/>
          </w:tcPr>
          <w:p w:rsidR="00627E19" w:rsidRPr="00CF2A93" w:rsidRDefault="00627E19" w:rsidP="00D56D1E">
            <w:pPr>
              <w:pStyle w:val="TableDescription"/>
            </w:pPr>
            <w:r>
              <w:t>FY</w:t>
            </w:r>
            <w:r w:rsidR="00AA40F9">
              <w:t>1</w:t>
            </w:r>
            <w:r w:rsidR="004339A3">
              <w:t>3</w:t>
            </w:r>
          </w:p>
        </w:tc>
        <w:tc>
          <w:tcPr>
            <w:tcW w:w="1440" w:type="dxa"/>
          </w:tcPr>
          <w:p w:rsidR="00627E19" w:rsidRPr="00CF2A93" w:rsidRDefault="00627E19" w:rsidP="00D56D1E">
            <w:pPr>
              <w:pStyle w:val="TableDescription"/>
            </w:pPr>
            <w:r>
              <w:t>FY</w:t>
            </w:r>
            <w:r w:rsidR="00AA40F9">
              <w:t>1</w:t>
            </w:r>
            <w:r w:rsidR="004339A3">
              <w:t>4</w:t>
            </w:r>
          </w:p>
        </w:tc>
      </w:tr>
      <w:tr w:rsidR="00627E19" w:rsidRPr="004C04E4" w:rsidTr="008B2BC8">
        <w:trPr>
          <w:trHeight w:val="991"/>
        </w:trPr>
        <w:tc>
          <w:tcPr>
            <w:tcW w:w="2045" w:type="dxa"/>
          </w:tcPr>
          <w:p w:rsidR="00627E19" w:rsidRDefault="00627E19" w:rsidP="008E6C1B">
            <w:r>
              <w:t>Project Chief</w:t>
            </w:r>
          </w:p>
        </w:tc>
        <w:tc>
          <w:tcPr>
            <w:tcW w:w="2714" w:type="dxa"/>
          </w:tcPr>
          <w:p w:rsidR="00627E19" w:rsidRDefault="00BF2B49" w:rsidP="008E6C1B">
            <w:r>
              <w:t>Planning, coordination,</w:t>
            </w:r>
            <w:r w:rsidR="000854B8">
              <w:t xml:space="preserve"> </w:t>
            </w:r>
            <w:r>
              <w:t xml:space="preserve"> data interpretation, report preparation</w:t>
            </w:r>
          </w:p>
        </w:tc>
        <w:tc>
          <w:tcPr>
            <w:tcW w:w="1377" w:type="dxa"/>
          </w:tcPr>
          <w:p w:rsidR="00627E19" w:rsidRDefault="000854B8" w:rsidP="00275F53">
            <w:r>
              <w:t>20</w:t>
            </w:r>
            <w:r w:rsidR="00AA40F9">
              <w:t xml:space="preserve"> weeks</w:t>
            </w:r>
          </w:p>
        </w:tc>
        <w:tc>
          <w:tcPr>
            <w:tcW w:w="1334" w:type="dxa"/>
          </w:tcPr>
          <w:p w:rsidR="00627E19" w:rsidRDefault="00275F53" w:rsidP="008E6C1B">
            <w:r>
              <w:t>1</w:t>
            </w:r>
            <w:r w:rsidR="006823B8">
              <w:t>3</w:t>
            </w:r>
            <w:r w:rsidR="00451220">
              <w:t xml:space="preserve"> </w:t>
            </w:r>
            <w:r w:rsidR="00627E19">
              <w:t>weeks</w:t>
            </w:r>
          </w:p>
        </w:tc>
        <w:tc>
          <w:tcPr>
            <w:tcW w:w="1440" w:type="dxa"/>
          </w:tcPr>
          <w:p w:rsidR="00627E19" w:rsidRDefault="006823B8" w:rsidP="008E6C1B">
            <w:r>
              <w:t>6</w:t>
            </w:r>
            <w:r w:rsidR="00451220">
              <w:t xml:space="preserve"> </w:t>
            </w:r>
            <w:r w:rsidR="00627E19">
              <w:t>weeks</w:t>
            </w:r>
          </w:p>
        </w:tc>
      </w:tr>
      <w:tr w:rsidR="00BF2B49" w:rsidTr="008B2BC8">
        <w:trPr>
          <w:trHeight w:val="2994"/>
        </w:trPr>
        <w:tc>
          <w:tcPr>
            <w:tcW w:w="2045" w:type="dxa"/>
          </w:tcPr>
          <w:p w:rsidR="00BF2B49" w:rsidRDefault="00BF2B49" w:rsidP="008E6C1B">
            <w:r>
              <w:t>Hydrologist</w:t>
            </w:r>
          </w:p>
        </w:tc>
        <w:tc>
          <w:tcPr>
            <w:tcW w:w="2714" w:type="dxa"/>
          </w:tcPr>
          <w:p w:rsidR="00BF2B49" w:rsidRDefault="00B37A2F" w:rsidP="00B37A2F">
            <w:r>
              <w:t>2.25</w:t>
            </w:r>
            <w:r w:rsidR="000854B8">
              <w:t xml:space="preserve"> FTE split between 6</w:t>
            </w:r>
            <w:r w:rsidR="00275F53">
              <w:t xml:space="preserve"> WSC </w:t>
            </w:r>
            <w:proofErr w:type="spellStart"/>
            <w:r w:rsidR="00275F53">
              <w:t>wu</w:t>
            </w:r>
            <w:proofErr w:type="spellEnd"/>
            <w:r w:rsidR="00275F53">
              <w:t xml:space="preserve"> specialists or capable hydrologist/hydrologic technician. Compile 2010 compilation </w:t>
            </w:r>
            <w:proofErr w:type="gramStart"/>
            <w:r w:rsidR="00275F53">
              <w:t>data,</w:t>
            </w:r>
            <w:proofErr w:type="gramEnd"/>
            <w:r w:rsidR="00275F53">
              <w:t xml:space="preserve"> assist </w:t>
            </w:r>
            <w:r>
              <w:t>in other tasks (CU/POD) as assigned.</w:t>
            </w:r>
            <w:r w:rsidR="00275F53">
              <w:t xml:space="preserve"> </w:t>
            </w:r>
          </w:p>
        </w:tc>
        <w:tc>
          <w:tcPr>
            <w:tcW w:w="1377" w:type="dxa"/>
          </w:tcPr>
          <w:p w:rsidR="00BF2B49" w:rsidRDefault="00B37A2F" w:rsidP="008E6C1B">
            <w:r>
              <w:t>156</w:t>
            </w:r>
            <w:r w:rsidR="00AA40F9">
              <w:t xml:space="preserve"> weeks</w:t>
            </w:r>
          </w:p>
        </w:tc>
        <w:tc>
          <w:tcPr>
            <w:tcW w:w="1334" w:type="dxa"/>
          </w:tcPr>
          <w:p w:rsidR="00BF2B49" w:rsidRDefault="006823B8" w:rsidP="008E6C1B">
            <w:r>
              <w:t>80</w:t>
            </w:r>
            <w:r w:rsidR="00370E2E">
              <w:t xml:space="preserve"> </w:t>
            </w:r>
            <w:r w:rsidR="00AA40F9">
              <w:t xml:space="preserve"> weeks</w:t>
            </w:r>
          </w:p>
        </w:tc>
        <w:tc>
          <w:tcPr>
            <w:tcW w:w="1440" w:type="dxa"/>
          </w:tcPr>
          <w:p w:rsidR="000854B8" w:rsidRDefault="00B37A2F" w:rsidP="008E6C1B">
            <w:r>
              <w:t>6</w:t>
            </w:r>
            <w:r w:rsidR="00370E2E">
              <w:t xml:space="preserve"> </w:t>
            </w:r>
            <w:r w:rsidR="00AA40F9">
              <w:t>weeks</w:t>
            </w:r>
          </w:p>
        </w:tc>
      </w:tr>
    </w:tbl>
    <w:p w:rsidR="00627E19" w:rsidRDefault="00627E19" w:rsidP="00627E19"/>
    <w:p w:rsidR="00627E19" w:rsidRDefault="006823B8" w:rsidP="00627E19">
      <w:r>
        <w:t>Report Costs:</w:t>
      </w:r>
      <w:r>
        <w:tab/>
      </w:r>
      <w:r>
        <w:tab/>
        <w:t>Fact Sheet</w:t>
      </w:r>
      <w:r>
        <w:tab/>
      </w:r>
      <w:r>
        <w:tab/>
        <w:t>$5,000</w:t>
      </w:r>
    </w:p>
    <w:p w:rsidR="006823B8" w:rsidRDefault="006823B8" w:rsidP="00627E19">
      <w:r>
        <w:tab/>
      </w:r>
      <w:r>
        <w:tab/>
      </w:r>
      <w:r>
        <w:tab/>
        <w:t>SIR</w:t>
      </w:r>
      <w:r>
        <w:tab/>
      </w:r>
      <w:r>
        <w:tab/>
      </w:r>
      <w:r>
        <w:tab/>
        <w:t>$10,000 (printed copies)</w:t>
      </w:r>
    </w:p>
    <w:p w:rsidR="00C913EB" w:rsidRDefault="00093633" w:rsidP="00035B1F">
      <w:pPr>
        <w:pStyle w:val="Heading1"/>
      </w:pPr>
      <w:r>
        <w:t>Project Budget</w:t>
      </w:r>
    </w:p>
    <w:p w:rsidR="00C913EB" w:rsidRDefault="008E6C1B" w:rsidP="008E6C1B">
      <w:pPr>
        <w:pStyle w:val="Heading2"/>
      </w:pPr>
      <w:r>
        <w:t>Funding</w:t>
      </w:r>
    </w:p>
    <w:tbl>
      <w:tblPr>
        <w:tblW w:w="0" w:type="auto"/>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1117"/>
        <w:gridCol w:w="1117"/>
        <w:gridCol w:w="1116"/>
        <w:gridCol w:w="1278"/>
      </w:tblGrid>
      <w:tr w:rsidR="00BF2B49" w:rsidTr="00140B4A">
        <w:trPr>
          <w:jc w:val="center"/>
        </w:trPr>
        <w:tc>
          <w:tcPr>
            <w:tcW w:w="4216" w:type="dxa"/>
          </w:tcPr>
          <w:p w:rsidR="00BF2B49" w:rsidRDefault="00BF2B49" w:rsidP="004C04E4">
            <w:pPr>
              <w:jc w:val="right"/>
            </w:pPr>
          </w:p>
        </w:tc>
        <w:tc>
          <w:tcPr>
            <w:tcW w:w="1117" w:type="dxa"/>
          </w:tcPr>
          <w:p w:rsidR="00BF2B49" w:rsidRDefault="00AA40F9" w:rsidP="004C04E4">
            <w:pPr>
              <w:jc w:val="center"/>
            </w:pPr>
            <w:r>
              <w:t>FY1</w:t>
            </w:r>
            <w:r w:rsidR="006823B8">
              <w:t>2</w:t>
            </w:r>
          </w:p>
        </w:tc>
        <w:tc>
          <w:tcPr>
            <w:tcW w:w="1117" w:type="dxa"/>
          </w:tcPr>
          <w:p w:rsidR="00BF2B49" w:rsidRDefault="00AA40F9" w:rsidP="004C04E4">
            <w:pPr>
              <w:jc w:val="center"/>
            </w:pPr>
            <w:r>
              <w:t>FY1</w:t>
            </w:r>
            <w:r w:rsidR="006823B8">
              <w:t>3</w:t>
            </w:r>
          </w:p>
        </w:tc>
        <w:tc>
          <w:tcPr>
            <w:tcW w:w="1116" w:type="dxa"/>
          </w:tcPr>
          <w:p w:rsidR="00BF2B49" w:rsidRDefault="00AA40F9" w:rsidP="004C04E4">
            <w:pPr>
              <w:jc w:val="center"/>
            </w:pPr>
            <w:r>
              <w:t>FY1</w:t>
            </w:r>
            <w:r w:rsidR="006823B8">
              <w:t>4</w:t>
            </w:r>
          </w:p>
        </w:tc>
        <w:tc>
          <w:tcPr>
            <w:tcW w:w="1278" w:type="dxa"/>
          </w:tcPr>
          <w:p w:rsidR="00BF2B49" w:rsidRDefault="00BF2B49" w:rsidP="004C04E4">
            <w:pPr>
              <w:jc w:val="center"/>
            </w:pPr>
            <w:r>
              <w:t>Total</w:t>
            </w:r>
          </w:p>
        </w:tc>
      </w:tr>
      <w:tr w:rsidR="007B5CC7" w:rsidTr="00140B4A">
        <w:trPr>
          <w:jc w:val="center"/>
        </w:trPr>
        <w:tc>
          <w:tcPr>
            <w:tcW w:w="4216" w:type="dxa"/>
          </w:tcPr>
          <w:p w:rsidR="007B5CC7" w:rsidRDefault="007B5CC7" w:rsidP="004C04E4">
            <w:pPr>
              <w:jc w:val="right"/>
            </w:pPr>
            <w:r>
              <w:t>USGS</w:t>
            </w:r>
          </w:p>
        </w:tc>
        <w:tc>
          <w:tcPr>
            <w:tcW w:w="1117" w:type="dxa"/>
          </w:tcPr>
          <w:p w:rsidR="007B5CC7" w:rsidRDefault="008475F9" w:rsidP="00035B1F">
            <w:pPr>
              <w:jc w:val="center"/>
            </w:pPr>
            <w:r>
              <w:t>$</w:t>
            </w:r>
            <w:r w:rsidR="006823B8">
              <w:t>366,8</w:t>
            </w:r>
            <w:r w:rsidR="007B5CC7">
              <w:t>00</w:t>
            </w:r>
          </w:p>
        </w:tc>
        <w:tc>
          <w:tcPr>
            <w:tcW w:w="1117" w:type="dxa"/>
          </w:tcPr>
          <w:p w:rsidR="007B5CC7" w:rsidRDefault="006823B8" w:rsidP="00B37A2F">
            <w:pPr>
              <w:jc w:val="right"/>
            </w:pPr>
            <w:r>
              <w:t>$</w:t>
            </w:r>
            <w:r w:rsidR="00B37A2F">
              <w:t>195</w:t>
            </w:r>
            <w:r>
              <w:t>,</w:t>
            </w:r>
            <w:r w:rsidR="007B5CC7">
              <w:t>000</w:t>
            </w:r>
          </w:p>
        </w:tc>
        <w:tc>
          <w:tcPr>
            <w:tcW w:w="1116" w:type="dxa"/>
          </w:tcPr>
          <w:p w:rsidR="007B5CC7" w:rsidRDefault="007B5CC7" w:rsidP="008475F9">
            <w:pPr>
              <w:jc w:val="right"/>
            </w:pPr>
            <w:r>
              <w:t>$</w:t>
            </w:r>
            <w:r w:rsidR="00B37A2F">
              <w:t>50</w:t>
            </w:r>
            <w:r>
              <w:t>,000</w:t>
            </w:r>
          </w:p>
        </w:tc>
        <w:tc>
          <w:tcPr>
            <w:tcW w:w="1278" w:type="dxa"/>
          </w:tcPr>
          <w:p w:rsidR="007B5CC7" w:rsidRDefault="007B5CC7" w:rsidP="008475F9">
            <w:pPr>
              <w:jc w:val="center"/>
            </w:pPr>
            <w:r>
              <w:t>$</w:t>
            </w:r>
            <w:r w:rsidR="00874B96">
              <w:t>611</w:t>
            </w:r>
            <w:r>
              <w:t>,</w:t>
            </w:r>
            <w:r w:rsidR="006823B8">
              <w:t>8</w:t>
            </w:r>
            <w:r>
              <w:t>00</w:t>
            </w:r>
          </w:p>
        </w:tc>
      </w:tr>
    </w:tbl>
    <w:p w:rsidR="00C913EB" w:rsidRDefault="00C913EB" w:rsidP="00967A8D">
      <w:bookmarkStart w:id="0" w:name="_GoBack"/>
      <w:bookmarkEnd w:id="0"/>
    </w:p>
    <w:p w:rsidR="00223DA3" w:rsidRPr="006D6D35" w:rsidRDefault="00223DA3" w:rsidP="00967A8D">
      <w:pPr>
        <w:rPr>
          <w:rFonts w:ascii="Arial" w:hAnsi="Arial" w:cs="Arial"/>
          <w:b/>
          <w:sz w:val="28"/>
          <w:szCs w:val="28"/>
        </w:rPr>
      </w:pPr>
      <w:r w:rsidRPr="006D6D35">
        <w:rPr>
          <w:rFonts w:ascii="Arial" w:hAnsi="Arial" w:cs="Arial"/>
          <w:b/>
          <w:sz w:val="28"/>
          <w:szCs w:val="28"/>
        </w:rPr>
        <w:t>References</w:t>
      </w:r>
      <w:r w:rsidR="006D6D35" w:rsidRPr="006D6D35">
        <w:rPr>
          <w:rFonts w:ascii="Arial" w:hAnsi="Arial" w:cs="Arial"/>
          <w:b/>
          <w:sz w:val="28"/>
          <w:szCs w:val="28"/>
        </w:rPr>
        <w:t>:</w:t>
      </w:r>
    </w:p>
    <w:p w:rsidR="00223DA3" w:rsidRPr="006D6D35" w:rsidRDefault="00223DA3" w:rsidP="00967A8D">
      <w:pPr>
        <w:rPr>
          <w:rFonts w:ascii="Palatino Linotype" w:hAnsi="Palatino Linotype"/>
        </w:rPr>
      </w:pPr>
    </w:p>
    <w:p w:rsidR="00223DA3" w:rsidRPr="006D6D35" w:rsidRDefault="00223DA3" w:rsidP="007C6C6B">
      <w:pPr>
        <w:autoSpaceDE w:val="0"/>
        <w:autoSpaceDN w:val="0"/>
        <w:adjustRightInd w:val="0"/>
        <w:rPr>
          <w:rFonts w:ascii="Palatino Linotype" w:hAnsi="Palatino Linotype"/>
        </w:rPr>
      </w:pPr>
      <w:r w:rsidRPr="006D6D35">
        <w:rPr>
          <w:rFonts w:ascii="Palatino Linotype" w:hAnsi="Palatino Linotype"/>
        </w:rPr>
        <w:t>Colorado River Basin Water Supply and Demand Study Team, 2011, Colorado River Basin water supply and demand study: Bureau of Reclamation Interim Report No. 1, 69 p.</w:t>
      </w:r>
    </w:p>
    <w:sectPr w:rsidR="00223DA3" w:rsidRPr="006D6D35" w:rsidSect="003C4571">
      <w:footerReference w:type="default" r:id="rId9"/>
      <w:pgSz w:w="12240" w:h="15840" w:code="1"/>
      <w:pgMar w:top="99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9F" w:rsidRDefault="006C5B9F" w:rsidP="00CE33CC">
      <w:r>
        <w:separator/>
      </w:r>
    </w:p>
  </w:endnote>
  <w:endnote w:type="continuationSeparator" w:id="0">
    <w:p w:rsidR="006C5B9F" w:rsidRDefault="006C5B9F" w:rsidP="00CE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43709"/>
      <w:docPartObj>
        <w:docPartGallery w:val="Page Numbers (Bottom of Page)"/>
        <w:docPartUnique/>
      </w:docPartObj>
    </w:sdtPr>
    <w:sdtEndPr>
      <w:rPr>
        <w:noProof/>
      </w:rPr>
    </w:sdtEndPr>
    <w:sdtContent>
      <w:p w:rsidR="00B37A2F" w:rsidRDefault="006C5B9F">
        <w:pPr>
          <w:pStyle w:val="Footer"/>
          <w:jc w:val="center"/>
        </w:pPr>
        <w:r>
          <w:fldChar w:fldCharType="begin"/>
        </w:r>
        <w:r>
          <w:instrText xml:space="preserve"> PAGE   \* MERGEFORMAT </w:instrText>
        </w:r>
        <w:r>
          <w:fldChar w:fldCharType="separate"/>
        </w:r>
        <w:r w:rsidR="008A27DD">
          <w:rPr>
            <w:noProof/>
          </w:rPr>
          <w:t>9</w:t>
        </w:r>
        <w:r>
          <w:rPr>
            <w:noProof/>
          </w:rPr>
          <w:fldChar w:fldCharType="end"/>
        </w:r>
      </w:p>
    </w:sdtContent>
  </w:sdt>
  <w:p w:rsidR="00B37A2F" w:rsidRDefault="00B37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9F" w:rsidRDefault="006C5B9F" w:rsidP="00CE33CC">
      <w:r>
        <w:separator/>
      </w:r>
    </w:p>
  </w:footnote>
  <w:footnote w:type="continuationSeparator" w:id="0">
    <w:p w:rsidR="006C5B9F" w:rsidRDefault="006C5B9F" w:rsidP="00CE3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3B6"/>
    <w:multiLevelType w:val="hybridMultilevel"/>
    <w:tmpl w:val="D2B0486C"/>
    <w:lvl w:ilvl="0" w:tplc="4F36483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E210D1"/>
    <w:multiLevelType w:val="hybridMultilevel"/>
    <w:tmpl w:val="88BE8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03650"/>
    <w:multiLevelType w:val="hybridMultilevel"/>
    <w:tmpl w:val="B2F62556"/>
    <w:lvl w:ilvl="0" w:tplc="A3C444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7DC167B"/>
    <w:multiLevelType w:val="hybridMultilevel"/>
    <w:tmpl w:val="7DEAEBFE"/>
    <w:lvl w:ilvl="0" w:tplc="25F0C21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91731C6"/>
    <w:multiLevelType w:val="hybridMultilevel"/>
    <w:tmpl w:val="FDE017AC"/>
    <w:lvl w:ilvl="0" w:tplc="20CA5C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F87416"/>
    <w:multiLevelType w:val="hybridMultilevel"/>
    <w:tmpl w:val="C644A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57E39"/>
    <w:multiLevelType w:val="multilevel"/>
    <w:tmpl w:val="7DEAEBF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2B440507"/>
    <w:multiLevelType w:val="hybridMultilevel"/>
    <w:tmpl w:val="12582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711F0D"/>
    <w:multiLevelType w:val="hybridMultilevel"/>
    <w:tmpl w:val="E2882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81706F"/>
    <w:multiLevelType w:val="hybridMultilevel"/>
    <w:tmpl w:val="82CC71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F715F5"/>
    <w:multiLevelType w:val="hybridMultilevel"/>
    <w:tmpl w:val="1E1C5A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10042"/>
    <w:multiLevelType w:val="hybridMultilevel"/>
    <w:tmpl w:val="A6EC2D10"/>
    <w:lvl w:ilvl="0" w:tplc="6ECC1BA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CCF04A9"/>
    <w:multiLevelType w:val="hybridMultilevel"/>
    <w:tmpl w:val="B9DA5714"/>
    <w:lvl w:ilvl="0" w:tplc="E696CE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1371291"/>
    <w:multiLevelType w:val="hybridMultilevel"/>
    <w:tmpl w:val="D10AE57C"/>
    <w:lvl w:ilvl="0" w:tplc="AA98185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CBA3BC9"/>
    <w:multiLevelType w:val="hybridMultilevel"/>
    <w:tmpl w:val="A1F23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6292CB2"/>
    <w:multiLevelType w:val="hybridMultilevel"/>
    <w:tmpl w:val="CBE82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A911F1"/>
    <w:multiLevelType w:val="hybridMultilevel"/>
    <w:tmpl w:val="E7BA6BB6"/>
    <w:lvl w:ilvl="0" w:tplc="5F944134">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3B84AB4"/>
    <w:multiLevelType w:val="hybridMultilevel"/>
    <w:tmpl w:val="D7046720"/>
    <w:lvl w:ilvl="0" w:tplc="B3185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0604DF"/>
    <w:multiLevelType w:val="hybridMultilevel"/>
    <w:tmpl w:val="ECC84DBE"/>
    <w:lvl w:ilvl="0" w:tplc="D27C83C6">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DD72FAF"/>
    <w:multiLevelType w:val="hybridMultilevel"/>
    <w:tmpl w:val="F57E93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18434FB"/>
    <w:multiLevelType w:val="hybridMultilevel"/>
    <w:tmpl w:val="6792C95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7472A5D"/>
    <w:multiLevelType w:val="hybridMultilevel"/>
    <w:tmpl w:val="BEDEE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8"/>
  </w:num>
  <w:num w:numId="4">
    <w:abstractNumId w:val="1"/>
  </w:num>
  <w:num w:numId="5">
    <w:abstractNumId w:val="4"/>
  </w:num>
  <w:num w:numId="6">
    <w:abstractNumId w:val="11"/>
  </w:num>
  <w:num w:numId="7">
    <w:abstractNumId w:val="3"/>
  </w:num>
  <w:num w:numId="8">
    <w:abstractNumId w:val="0"/>
  </w:num>
  <w:num w:numId="9">
    <w:abstractNumId w:val="16"/>
  </w:num>
  <w:num w:numId="10">
    <w:abstractNumId w:val="13"/>
  </w:num>
  <w:num w:numId="11">
    <w:abstractNumId w:val="12"/>
  </w:num>
  <w:num w:numId="12">
    <w:abstractNumId w:val="2"/>
  </w:num>
  <w:num w:numId="13">
    <w:abstractNumId w:val="18"/>
  </w:num>
  <w:num w:numId="14">
    <w:abstractNumId w:val="20"/>
  </w:num>
  <w:num w:numId="15">
    <w:abstractNumId w:val="7"/>
  </w:num>
  <w:num w:numId="16">
    <w:abstractNumId w:val="9"/>
  </w:num>
  <w:num w:numId="17">
    <w:abstractNumId w:val="6"/>
  </w:num>
  <w:num w:numId="18">
    <w:abstractNumId w:val="10"/>
  </w:num>
  <w:num w:numId="19">
    <w:abstractNumId w:val="15"/>
  </w:num>
  <w:num w:numId="20">
    <w:abstractNumId w:val="14"/>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0D2A"/>
    <w:rsid w:val="00003150"/>
    <w:rsid w:val="000132C5"/>
    <w:rsid w:val="00017793"/>
    <w:rsid w:val="00035B1F"/>
    <w:rsid w:val="00075F7E"/>
    <w:rsid w:val="000854B8"/>
    <w:rsid w:val="00093633"/>
    <w:rsid w:val="000B6567"/>
    <w:rsid w:val="000E562A"/>
    <w:rsid w:val="001061CE"/>
    <w:rsid w:val="00126202"/>
    <w:rsid w:val="001404AD"/>
    <w:rsid w:val="00140B4A"/>
    <w:rsid w:val="0018127C"/>
    <w:rsid w:val="001830C6"/>
    <w:rsid w:val="001A362E"/>
    <w:rsid w:val="001A671F"/>
    <w:rsid w:val="001B4962"/>
    <w:rsid w:val="001B4E40"/>
    <w:rsid w:val="001C5172"/>
    <w:rsid w:val="001E721F"/>
    <w:rsid w:val="00223DA3"/>
    <w:rsid w:val="00225B26"/>
    <w:rsid w:val="002416E1"/>
    <w:rsid w:val="00245FEC"/>
    <w:rsid w:val="0024670C"/>
    <w:rsid w:val="0025285F"/>
    <w:rsid w:val="002544F9"/>
    <w:rsid w:val="00275F53"/>
    <w:rsid w:val="00296B84"/>
    <w:rsid w:val="00297437"/>
    <w:rsid w:val="002C15B8"/>
    <w:rsid w:val="002D41EA"/>
    <w:rsid w:val="002D5425"/>
    <w:rsid w:val="00306D3D"/>
    <w:rsid w:val="00307D9B"/>
    <w:rsid w:val="00370E2E"/>
    <w:rsid w:val="00390CA6"/>
    <w:rsid w:val="0039289D"/>
    <w:rsid w:val="003A7032"/>
    <w:rsid w:val="003B0C1B"/>
    <w:rsid w:val="003C4571"/>
    <w:rsid w:val="003E4404"/>
    <w:rsid w:val="00411DF9"/>
    <w:rsid w:val="004141B4"/>
    <w:rsid w:val="004247D8"/>
    <w:rsid w:val="004314FF"/>
    <w:rsid w:val="004339A3"/>
    <w:rsid w:val="0044764B"/>
    <w:rsid w:val="00451220"/>
    <w:rsid w:val="004548ED"/>
    <w:rsid w:val="00461E46"/>
    <w:rsid w:val="00465B7E"/>
    <w:rsid w:val="00472B88"/>
    <w:rsid w:val="004A38FA"/>
    <w:rsid w:val="004C04E4"/>
    <w:rsid w:val="00512AF9"/>
    <w:rsid w:val="0053362A"/>
    <w:rsid w:val="00595DAD"/>
    <w:rsid w:val="005B14FE"/>
    <w:rsid w:val="005B3D76"/>
    <w:rsid w:val="00627E19"/>
    <w:rsid w:val="00654317"/>
    <w:rsid w:val="00671F62"/>
    <w:rsid w:val="00671F84"/>
    <w:rsid w:val="00675118"/>
    <w:rsid w:val="00680C31"/>
    <w:rsid w:val="006823B8"/>
    <w:rsid w:val="0069290E"/>
    <w:rsid w:val="006A0736"/>
    <w:rsid w:val="006C5B9F"/>
    <w:rsid w:val="006D6D35"/>
    <w:rsid w:val="006E2633"/>
    <w:rsid w:val="00707E9E"/>
    <w:rsid w:val="007177F7"/>
    <w:rsid w:val="00724679"/>
    <w:rsid w:val="00725781"/>
    <w:rsid w:val="00766977"/>
    <w:rsid w:val="00776D72"/>
    <w:rsid w:val="007942EF"/>
    <w:rsid w:val="007A361C"/>
    <w:rsid w:val="007A59BB"/>
    <w:rsid w:val="007B07A2"/>
    <w:rsid w:val="007B5CC7"/>
    <w:rsid w:val="007C6C6B"/>
    <w:rsid w:val="00826FFD"/>
    <w:rsid w:val="0084402C"/>
    <w:rsid w:val="00846D89"/>
    <w:rsid w:val="00847362"/>
    <w:rsid w:val="008475F9"/>
    <w:rsid w:val="00870623"/>
    <w:rsid w:val="00874B96"/>
    <w:rsid w:val="008826D8"/>
    <w:rsid w:val="00893405"/>
    <w:rsid w:val="008A27DD"/>
    <w:rsid w:val="008A46C5"/>
    <w:rsid w:val="008B2BC8"/>
    <w:rsid w:val="008D10F5"/>
    <w:rsid w:val="008E6C1B"/>
    <w:rsid w:val="009025AD"/>
    <w:rsid w:val="009646F6"/>
    <w:rsid w:val="00967A8D"/>
    <w:rsid w:val="00975779"/>
    <w:rsid w:val="009A7671"/>
    <w:rsid w:val="009D7B1E"/>
    <w:rsid w:val="009E16EA"/>
    <w:rsid w:val="009E23B6"/>
    <w:rsid w:val="009F01D7"/>
    <w:rsid w:val="00A21F09"/>
    <w:rsid w:val="00A374A0"/>
    <w:rsid w:val="00A87AEB"/>
    <w:rsid w:val="00A95FDB"/>
    <w:rsid w:val="00AA3999"/>
    <w:rsid w:val="00AA40F9"/>
    <w:rsid w:val="00AE4912"/>
    <w:rsid w:val="00AF66BE"/>
    <w:rsid w:val="00B11A2D"/>
    <w:rsid w:val="00B242B3"/>
    <w:rsid w:val="00B37A2F"/>
    <w:rsid w:val="00B54093"/>
    <w:rsid w:val="00BB3140"/>
    <w:rsid w:val="00BB6C4F"/>
    <w:rsid w:val="00BC4E57"/>
    <w:rsid w:val="00BC58C3"/>
    <w:rsid w:val="00BF2B49"/>
    <w:rsid w:val="00C02586"/>
    <w:rsid w:val="00C242C2"/>
    <w:rsid w:val="00C30A94"/>
    <w:rsid w:val="00C32A43"/>
    <w:rsid w:val="00C45376"/>
    <w:rsid w:val="00C627A1"/>
    <w:rsid w:val="00C70D2A"/>
    <w:rsid w:val="00C913EB"/>
    <w:rsid w:val="00CA16E0"/>
    <w:rsid w:val="00CE3374"/>
    <w:rsid w:val="00CE33CC"/>
    <w:rsid w:val="00CE609A"/>
    <w:rsid w:val="00CE6C5D"/>
    <w:rsid w:val="00D0402E"/>
    <w:rsid w:val="00D23CB5"/>
    <w:rsid w:val="00D27F13"/>
    <w:rsid w:val="00D4461C"/>
    <w:rsid w:val="00D45C1A"/>
    <w:rsid w:val="00D56D1E"/>
    <w:rsid w:val="00E10360"/>
    <w:rsid w:val="00E22713"/>
    <w:rsid w:val="00E529ED"/>
    <w:rsid w:val="00E6377C"/>
    <w:rsid w:val="00E6446F"/>
    <w:rsid w:val="00E7534D"/>
    <w:rsid w:val="00E9627D"/>
    <w:rsid w:val="00ED2695"/>
    <w:rsid w:val="00ED63EF"/>
    <w:rsid w:val="00EE4D88"/>
    <w:rsid w:val="00EE6DF3"/>
    <w:rsid w:val="00EF1A9A"/>
    <w:rsid w:val="00F0056A"/>
    <w:rsid w:val="00F028B4"/>
    <w:rsid w:val="00F0407A"/>
    <w:rsid w:val="00F21C3D"/>
    <w:rsid w:val="00F54B6D"/>
    <w:rsid w:val="00F62AAD"/>
    <w:rsid w:val="00F833A9"/>
    <w:rsid w:val="00FC2C36"/>
    <w:rsid w:val="00FF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6EA"/>
    <w:rPr>
      <w:sz w:val="24"/>
      <w:szCs w:val="24"/>
    </w:rPr>
  </w:style>
  <w:style w:type="paragraph" w:styleId="Heading1">
    <w:name w:val="heading 1"/>
    <w:basedOn w:val="Normal"/>
    <w:next w:val="Normal"/>
    <w:qFormat/>
    <w:rsid w:val="00093633"/>
    <w:pPr>
      <w:keepNext/>
      <w:suppressAutoHyphens/>
      <w:spacing w:after="39"/>
      <w:outlineLvl w:val="0"/>
    </w:pPr>
    <w:rPr>
      <w:rFonts w:ascii="Arial" w:hAnsi="Arial"/>
      <w:b/>
      <w:bCs/>
      <w:sz w:val="28"/>
    </w:rPr>
  </w:style>
  <w:style w:type="paragraph" w:styleId="Heading2">
    <w:name w:val="heading 2"/>
    <w:basedOn w:val="Normal"/>
    <w:next w:val="Normal"/>
    <w:qFormat/>
    <w:rsid w:val="008E6C1B"/>
    <w:pPr>
      <w:keepNext/>
      <w:suppressAutoHyphens/>
      <w:spacing w:after="39"/>
      <w:ind w:left="576"/>
      <w:outlineLvl w:val="1"/>
    </w:pPr>
    <w:rPr>
      <w:b/>
      <w:bCs/>
    </w:rPr>
  </w:style>
  <w:style w:type="paragraph" w:styleId="Heading5">
    <w:name w:val="heading 5"/>
    <w:basedOn w:val="Normal"/>
    <w:next w:val="Normal"/>
    <w:qFormat/>
    <w:rsid w:val="00C627A1"/>
    <w:pPr>
      <w:keepNext/>
      <w:jc w:val="center"/>
      <w:outlineLvl w:val="4"/>
    </w:pPr>
    <w:rPr>
      <w:sz w:val="52"/>
    </w:rPr>
  </w:style>
  <w:style w:type="paragraph" w:styleId="Heading6">
    <w:name w:val="heading 6"/>
    <w:basedOn w:val="Normal"/>
    <w:next w:val="Normal"/>
    <w:qFormat/>
    <w:rsid w:val="00C627A1"/>
    <w:pPr>
      <w:keepNext/>
      <w:jc w:val="center"/>
      <w:outlineLvl w:val="5"/>
    </w:pPr>
    <w:rPr>
      <w:sz w:val="28"/>
    </w:rPr>
  </w:style>
  <w:style w:type="paragraph" w:styleId="Heading7">
    <w:name w:val="heading 7"/>
    <w:basedOn w:val="Normal"/>
    <w:next w:val="Normal"/>
    <w:qFormat/>
    <w:rsid w:val="00C627A1"/>
    <w:pPr>
      <w:keepNext/>
      <w:framePr w:hSpace="180" w:wrap="around" w:vAnchor="page" w:hAnchor="margin" w:xAlign="center" w:y="1621"/>
      <w:jc w:val="center"/>
      <w:outlineLvl w:val="6"/>
    </w:pPr>
    <w:rPr>
      <w:sz w:val="52"/>
    </w:rPr>
  </w:style>
  <w:style w:type="paragraph" w:styleId="Heading8">
    <w:name w:val="heading 8"/>
    <w:basedOn w:val="Normal"/>
    <w:next w:val="Normal"/>
    <w:qFormat/>
    <w:rsid w:val="00C627A1"/>
    <w:pPr>
      <w:keepNext/>
      <w:framePr w:hSpace="180" w:wrap="around" w:vAnchor="page" w:hAnchor="margin" w:xAlign="center" w:y="1621"/>
      <w:outlineLvl w:val="7"/>
    </w:pPr>
    <w:rPr>
      <w:b/>
      <w:bCs/>
    </w:rPr>
  </w:style>
  <w:style w:type="paragraph" w:styleId="Heading9">
    <w:name w:val="heading 9"/>
    <w:basedOn w:val="Normal"/>
    <w:next w:val="Normal"/>
    <w:qFormat/>
    <w:rsid w:val="00C627A1"/>
    <w:pPr>
      <w:keepNext/>
      <w:framePr w:hSpace="180" w:wrap="around" w:vAnchor="page" w:hAnchor="margin" w:xAlign="center" w:y="1621"/>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3633"/>
    <w:pPr>
      <w:spacing w:after="240"/>
      <w:ind w:firstLine="720"/>
    </w:pPr>
  </w:style>
  <w:style w:type="paragraph" w:styleId="Header">
    <w:name w:val="header"/>
    <w:basedOn w:val="Normal"/>
    <w:rsid w:val="00C627A1"/>
    <w:pPr>
      <w:tabs>
        <w:tab w:val="center" w:pos="4320"/>
        <w:tab w:val="right" w:pos="8640"/>
      </w:tabs>
    </w:pPr>
  </w:style>
  <w:style w:type="paragraph" w:styleId="BodyText2">
    <w:name w:val="Body Text 2"/>
    <w:basedOn w:val="Normal"/>
    <w:rsid w:val="00C627A1"/>
    <w:rPr>
      <w:b/>
      <w:bCs/>
    </w:rPr>
  </w:style>
  <w:style w:type="paragraph" w:customStyle="1" w:styleId="Title1">
    <w:name w:val="Title1"/>
    <w:basedOn w:val="Normal"/>
    <w:rsid w:val="00E529ED"/>
    <w:pPr>
      <w:spacing w:after="240"/>
      <w:jc w:val="center"/>
    </w:pPr>
    <w:rPr>
      <w:rFonts w:ascii="Arial" w:hAnsi="Arial"/>
      <w:b/>
      <w:sz w:val="36"/>
      <w:szCs w:val="36"/>
    </w:rPr>
  </w:style>
  <w:style w:type="paragraph" w:customStyle="1" w:styleId="Subtitle1">
    <w:name w:val="Subtitle1"/>
    <w:basedOn w:val="Title1"/>
    <w:rsid w:val="00A21F09"/>
    <w:rPr>
      <w:sz w:val="24"/>
    </w:rPr>
  </w:style>
  <w:style w:type="table" w:styleId="TableGrid">
    <w:name w:val="Table Grid"/>
    <w:basedOn w:val="TableNormal"/>
    <w:rsid w:val="00627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Entry">
    <w:name w:val="TableEntry"/>
    <w:basedOn w:val="Normal"/>
    <w:rsid w:val="004247D8"/>
  </w:style>
  <w:style w:type="paragraph" w:customStyle="1" w:styleId="TableDescription">
    <w:name w:val="TableDescription"/>
    <w:basedOn w:val="TableEntry"/>
    <w:rsid w:val="00461E46"/>
    <w:pPr>
      <w:jc w:val="center"/>
    </w:pPr>
  </w:style>
  <w:style w:type="paragraph" w:customStyle="1" w:styleId="TaskHeading">
    <w:name w:val="TaskHeading"/>
    <w:basedOn w:val="Normal"/>
    <w:rsid w:val="00461E46"/>
    <w:pPr>
      <w:spacing w:after="240"/>
    </w:pPr>
    <w:rPr>
      <w:b/>
    </w:rPr>
  </w:style>
  <w:style w:type="paragraph" w:customStyle="1" w:styleId="Reference">
    <w:name w:val="Reference"/>
    <w:basedOn w:val="Normal"/>
    <w:rsid w:val="00BC4E57"/>
    <w:pPr>
      <w:ind w:left="576" w:hanging="576"/>
    </w:pPr>
  </w:style>
  <w:style w:type="character" w:styleId="Hyperlink">
    <w:name w:val="Hyperlink"/>
    <w:basedOn w:val="DefaultParagraphFont"/>
    <w:uiPriority w:val="99"/>
    <w:unhideWhenUsed/>
    <w:rsid w:val="00297437"/>
    <w:rPr>
      <w:color w:val="0000FF"/>
      <w:u w:val="single"/>
    </w:rPr>
  </w:style>
  <w:style w:type="paragraph" w:styleId="ListParagraph">
    <w:name w:val="List Paragraph"/>
    <w:basedOn w:val="Normal"/>
    <w:uiPriority w:val="34"/>
    <w:qFormat/>
    <w:rsid w:val="00297437"/>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3C4571"/>
    <w:rPr>
      <w:rFonts w:ascii="Tahoma" w:hAnsi="Tahoma" w:cs="Tahoma"/>
      <w:sz w:val="16"/>
      <w:szCs w:val="16"/>
    </w:rPr>
  </w:style>
  <w:style w:type="character" w:customStyle="1" w:styleId="DocumentMapChar">
    <w:name w:val="Document Map Char"/>
    <w:basedOn w:val="DefaultParagraphFont"/>
    <w:link w:val="DocumentMap"/>
    <w:rsid w:val="003C4571"/>
    <w:rPr>
      <w:rFonts w:ascii="Tahoma" w:hAnsi="Tahoma" w:cs="Tahoma"/>
      <w:sz w:val="16"/>
      <w:szCs w:val="16"/>
    </w:rPr>
  </w:style>
  <w:style w:type="paragraph" w:customStyle="1" w:styleId="Default">
    <w:name w:val="Default"/>
    <w:rsid w:val="00F028B4"/>
    <w:pPr>
      <w:autoSpaceDE w:val="0"/>
      <w:autoSpaceDN w:val="0"/>
      <w:adjustRightInd w:val="0"/>
    </w:pPr>
    <w:rPr>
      <w:rFonts w:ascii="Palatino" w:hAnsi="Palatino" w:cs="Palatino"/>
      <w:color w:val="000000"/>
      <w:sz w:val="24"/>
      <w:szCs w:val="24"/>
    </w:rPr>
  </w:style>
  <w:style w:type="paragraph" w:customStyle="1" w:styleId="Pa7">
    <w:name w:val="Pa7"/>
    <w:basedOn w:val="Default"/>
    <w:next w:val="Default"/>
    <w:uiPriority w:val="99"/>
    <w:rsid w:val="00F028B4"/>
    <w:pPr>
      <w:spacing w:line="221" w:lineRule="atLeast"/>
    </w:pPr>
    <w:rPr>
      <w:rFonts w:cs="Times New Roman"/>
      <w:color w:val="auto"/>
    </w:rPr>
  </w:style>
  <w:style w:type="paragraph" w:customStyle="1" w:styleId="Pa28">
    <w:name w:val="Pa28"/>
    <w:basedOn w:val="Default"/>
    <w:next w:val="Default"/>
    <w:uiPriority w:val="99"/>
    <w:rsid w:val="00F028B4"/>
    <w:pPr>
      <w:spacing w:line="221" w:lineRule="atLeast"/>
    </w:pPr>
    <w:rPr>
      <w:rFonts w:cs="Times New Roman"/>
      <w:color w:val="auto"/>
    </w:rPr>
  </w:style>
  <w:style w:type="paragraph" w:styleId="BalloonText">
    <w:name w:val="Balloon Text"/>
    <w:basedOn w:val="Normal"/>
    <w:link w:val="BalloonTextChar"/>
    <w:rsid w:val="002544F9"/>
    <w:rPr>
      <w:rFonts w:ascii="Tahoma" w:hAnsi="Tahoma" w:cs="Tahoma"/>
      <w:sz w:val="16"/>
      <w:szCs w:val="16"/>
    </w:rPr>
  </w:style>
  <w:style w:type="character" w:customStyle="1" w:styleId="BalloonTextChar">
    <w:name w:val="Balloon Text Char"/>
    <w:basedOn w:val="DefaultParagraphFont"/>
    <w:link w:val="BalloonText"/>
    <w:rsid w:val="002544F9"/>
    <w:rPr>
      <w:rFonts w:ascii="Tahoma" w:hAnsi="Tahoma" w:cs="Tahoma"/>
      <w:sz w:val="16"/>
      <w:szCs w:val="16"/>
    </w:rPr>
  </w:style>
  <w:style w:type="character" w:styleId="CommentReference">
    <w:name w:val="annotation reference"/>
    <w:basedOn w:val="DefaultParagraphFont"/>
    <w:uiPriority w:val="99"/>
    <w:rsid w:val="00017793"/>
    <w:rPr>
      <w:sz w:val="16"/>
      <w:szCs w:val="16"/>
    </w:rPr>
  </w:style>
  <w:style w:type="paragraph" w:styleId="CommentText">
    <w:name w:val="annotation text"/>
    <w:basedOn w:val="Normal"/>
    <w:link w:val="CommentTextChar"/>
    <w:uiPriority w:val="99"/>
    <w:rsid w:val="00017793"/>
    <w:rPr>
      <w:sz w:val="20"/>
      <w:szCs w:val="20"/>
    </w:rPr>
  </w:style>
  <w:style w:type="character" w:customStyle="1" w:styleId="CommentTextChar">
    <w:name w:val="Comment Text Char"/>
    <w:basedOn w:val="DefaultParagraphFont"/>
    <w:link w:val="CommentText"/>
    <w:uiPriority w:val="99"/>
    <w:rsid w:val="00017793"/>
  </w:style>
  <w:style w:type="paragraph" w:styleId="CommentSubject">
    <w:name w:val="annotation subject"/>
    <w:basedOn w:val="CommentText"/>
    <w:next w:val="CommentText"/>
    <w:link w:val="CommentSubjectChar"/>
    <w:rsid w:val="00017793"/>
    <w:rPr>
      <w:b/>
      <w:bCs/>
    </w:rPr>
  </w:style>
  <w:style w:type="character" w:customStyle="1" w:styleId="CommentSubjectChar">
    <w:name w:val="Comment Subject Char"/>
    <w:basedOn w:val="CommentTextChar"/>
    <w:link w:val="CommentSubject"/>
    <w:rsid w:val="00017793"/>
    <w:rPr>
      <w:b/>
      <w:bCs/>
    </w:rPr>
  </w:style>
  <w:style w:type="paragraph" w:styleId="Footer">
    <w:name w:val="footer"/>
    <w:basedOn w:val="Normal"/>
    <w:link w:val="FooterChar"/>
    <w:uiPriority w:val="99"/>
    <w:rsid w:val="00CE33CC"/>
    <w:pPr>
      <w:tabs>
        <w:tab w:val="center" w:pos="4680"/>
        <w:tab w:val="right" w:pos="9360"/>
      </w:tabs>
    </w:pPr>
  </w:style>
  <w:style w:type="character" w:customStyle="1" w:styleId="FooterChar">
    <w:name w:val="Footer Char"/>
    <w:basedOn w:val="DefaultParagraphFont"/>
    <w:link w:val="Footer"/>
    <w:uiPriority w:val="99"/>
    <w:rsid w:val="00CE33CC"/>
    <w:rPr>
      <w:sz w:val="24"/>
      <w:szCs w:val="24"/>
    </w:rPr>
  </w:style>
  <w:style w:type="paragraph" w:styleId="Revision">
    <w:name w:val="Revision"/>
    <w:hidden/>
    <w:uiPriority w:val="99"/>
    <w:semiHidden/>
    <w:rsid w:val="006929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01917">
      <w:bodyDiv w:val="1"/>
      <w:marLeft w:val="0"/>
      <w:marRight w:val="0"/>
      <w:marTop w:val="0"/>
      <w:marBottom w:val="0"/>
      <w:divBdr>
        <w:top w:val="none" w:sz="0" w:space="0" w:color="auto"/>
        <w:left w:val="none" w:sz="0" w:space="0" w:color="auto"/>
        <w:bottom w:val="none" w:sz="0" w:space="0" w:color="auto"/>
        <w:right w:val="none" w:sz="0" w:space="0" w:color="auto"/>
      </w:divBdr>
    </w:div>
    <w:div w:id="1030255162">
      <w:bodyDiv w:val="1"/>
      <w:marLeft w:val="0"/>
      <w:marRight w:val="0"/>
      <w:marTop w:val="0"/>
      <w:marBottom w:val="0"/>
      <w:divBdr>
        <w:top w:val="none" w:sz="0" w:space="0" w:color="auto"/>
        <w:left w:val="none" w:sz="0" w:space="0" w:color="auto"/>
        <w:bottom w:val="none" w:sz="0" w:space="0" w:color="auto"/>
        <w:right w:val="none" w:sz="0" w:space="0" w:color="auto"/>
      </w:divBdr>
    </w:div>
    <w:div w:id="16359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F7C3-3A71-43DA-80D0-B8FE6F19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DRAFT</vt:lpstr>
    </vt:vector>
  </TitlesOfParts>
  <Company>Dell Computer Corporation</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nieswand</dc:creator>
  <cp:lastModifiedBy>Bruce, Breton W.</cp:lastModifiedBy>
  <cp:revision>3</cp:revision>
  <cp:lastPrinted>2011-09-16T13:53:00Z</cp:lastPrinted>
  <dcterms:created xsi:type="dcterms:W3CDTF">2011-10-03T20:31:00Z</dcterms:created>
  <dcterms:modified xsi:type="dcterms:W3CDTF">2011-10-03T20:43:00Z</dcterms:modified>
</cp:coreProperties>
</file>