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contextualSpacing w:val="0"/>
      </w:pPr>
      <w:bookmarkStart w:colFirst="0" w:colLast="0" w:name="h.wnevdpvgdbj1" w:id="0"/>
      <w:bookmarkEnd w:id="0"/>
      <w:r w:rsidDel="00000000" w:rsidR="00000000" w:rsidRPr="00000000">
        <w:rPr>
          <w:rFonts w:ascii="Times New Roman" w:cs="Times New Roman" w:eastAsia="Times New Roman" w:hAnsi="Times New Roman"/>
          <w:rtl w:val="0"/>
        </w:rPr>
        <w:t xml:space="preserve">Appendix 2. </w:t>
      </w:r>
    </w:p>
    <w:p w:rsidR="00000000" w:rsidDel="00000000" w:rsidP="00000000" w:rsidRDefault="00000000" w:rsidRPr="00000000">
      <w:pPr>
        <w:pStyle w:val="Heading2"/>
        <w:contextualSpacing w:val="0"/>
      </w:pPr>
      <w:bookmarkStart w:colFirst="0" w:colLast="0" w:name="h.lcxvshfsl45r" w:id="1"/>
      <w:bookmarkEnd w:id="1"/>
      <w:r w:rsidDel="00000000" w:rsidR="00000000" w:rsidRPr="00000000">
        <w:rPr>
          <w:rFonts w:ascii="Times New Roman" w:cs="Times New Roman" w:eastAsia="Times New Roman" w:hAnsi="Times New Roman"/>
          <w:rtl w:val="0"/>
        </w:rPr>
        <w:t xml:space="preserve">Data Management and Model Archival Plan for the Coastal Lowland Aquifer System (CLAS) Groundwater Availability Study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90"/>
        <w:gridCol w:w="6390"/>
        <w:tblGridChange w:id="0">
          <w:tblGrid>
            <w:gridCol w:w="2490"/>
            <w:gridCol w:w="639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h0h4l981obp3" w:id="2"/>
            <w:bookmarkEnd w:id="2"/>
            <w:r w:rsidDel="00000000" w:rsidR="00000000" w:rsidRPr="00000000">
              <w:rPr>
                <w:b w:val="1"/>
                <w:sz w:val="34"/>
                <w:szCs w:val="34"/>
                <w:shd w:fill="c6d9f1" w:val="clear"/>
                <w:rtl w:val="0"/>
              </w:rPr>
              <w:t xml:space="preserve">Data Input – Existing Data:  Water Use Data from the Aggregated Water Use Data System (AWUDS)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Water withdrawals in the CLAS study area, which includes portions of Alabama, Florida, Louisiana, Mississippi, and Texas, will be compiled into a project database from the USGS Aggregated Water Use Data System (AWUDS).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Not applicable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Not applicable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Source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USGS Aggregated Water Use Data System (AWUDS)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County-level AWUDS data will be manipulated in a variety of ways, including conversion to HUC-8 data using GIS methods.</w:t>
            </w:r>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During compilation, data will be stored on a USGS computer and periodically backed up to a network server.  Needed corrections or revisions to the National AWUDS database are not expected, but if needed, will be coordinated through the National Water Use Leadership Team and the Regional Water-Use Specialist.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10 MB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All data will reside on USGS network computers and will be secured by the network protocols.  </w:t>
            </w:r>
          </w:p>
          <w:p w:rsidR="00000000" w:rsidDel="00000000" w:rsidP="00000000" w:rsidRDefault="00000000" w:rsidRPr="00000000">
            <w:pPr>
              <w:spacing w:before="120" w:line="276" w:lineRule="auto"/>
              <w:contextualSpacing w:val="0"/>
            </w:pPr>
            <w:r w:rsidDel="00000000" w:rsidR="00000000" w:rsidRPr="00000000">
              <w:rPr>
                <w:i w:val="1"/>
                <w:sz w:val="20"/>
                <w:szCs w:val="20"/>
                <w:highlight w:val="white"/>
                <w:rtl w:val="0"/>
              </w:rPr>
              <w:t xml:space="preserve">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http://waterdata.usgs.gov/nwis/wu</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To be determined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90"/>
        <w:gridCol w:w="6390"/>
        <w:tblGridChange w:id="0">
          <w:tblGrid>
            <w:gridCol w:w="2490"/>
            <w:gridCol w:w="639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ktg07p4v1603" w:id="3"/>
            <w:bookmarkEnd w:id="3"/>
            <w:r w:rsidDel="00000000" w:rsidR="00000000" w:rsidRPr="00000000">
              <w:rPr>
                <w:b w:val="1"/>
                <w:sz w:val="34"/>
                <w:szCs w:val="34"/>
                <w:shd w:fill="c6d9f1" w:val="clear"/>
                <w:rtl w:val="0"/>
              </w:rPr>
              <w:t xml:space="preserve">Data Input – New Data: Water Use Data from State and Local Sources, Aggregated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highlight w:val="white"/>
                <w:rtl w:val="0"/>
              </w:rPr>
              <w:t xml:space="preserve"> </w:t>
            </w:r>
          </w:p>
          <w:p w:rsidR="00000000" w:rsidDel="00000000" w:rsidP="00000000" w:rsidRDefault="00000000" w:rsidRPr="00000000">
            <w:pPr>
              <w:contextualSpacing w:val="0"/>
            </w:pPr>
            <w:r w:rsidDel="00000000" w:rsidR="00000000" w:rsidRPr="00000000">
              <w:rPr>
                <w:highlight w:val="white"/>
                <w:rtl w:val="0"/>
              </w:rPr>
              <w:t xml:space="preserve">Water withdrawals for the CLAS study area will be compiled from State and local agencies. The data span 5 states, including Alabama, Florida, Louisiana, Mississippi, and Texas. The sources of the existing water-use data, which may be site-specific or aggregated by county, include USGS and State or local water-use databases.  Agencies with available water use data include:</w:t>
            </w:r>
          </w:p>
          <w:p w:rsidR="00000000" w:rsidDel="00000000" w:rsidP="00000000" w:rsidRDefault="00000000" w:rsidRPr="00000000">
            <w:pPr>
              <w:contextualSpacing w:val="0"/>
            </w:pPr>
            <w:r w:rsidDel="00000000" w:rsidR="00000000" w:rsidRPr="00000000">
              <w:rPr>
                <w:highlight w:val="white"/>
                <w:rtl w:val="0"/>
              </w:rPr>
              <w:tab/>
              <w:t xml:space="preserve">Texas Water Development Board</w:t>
            </w:r>
          </w:p>
          <w:p w:rsidR="00000000" w:rsidDel="00000000" w:rsidP="00000000" w:rsidRDefault="00000000" w:rsidRPr="00000000">
            <w:pPr>
              <w:contextualSpacing w:val="0"/>
            </w:pPr>
            <w:r w:rsidDel="00000000" w:rsidR="00000000" w:rsidRPr="00000000">
              <w:rPr>
                <w:highlight w:val="white"/>
                <w:rtl w:val="0"/>
              </w:rPr>
              <w:tab/>
              <w:t xml:space="preserve">Louisiana Dept. of Transportation and Development</w:t>
            </w:r>
          </w:p>
          <w:p w:rsidR="00000000" w:rsidDel="00000000" w:rsidP="00000000" w:rsidRDefault="00000000" w:rsidRPr="00000000">
            <w:pPr>
              <w:contextualSpacing w:val="0"/>
            </w:pPr>
            <w:r w:rsidDel="00000000" w:rsidR="00000000" w:rsidRPr="00000000">
              <w:rPr>
                <w:highlight w:val="white"/>
                <w:rtl w:val="0"/>
              </w:rPr>
              <w:tab/>
              <w:t xml:space="preserve">Mississippi Dept. of Environmental Quality</w:t>
            </w:r>
          </w:p>
          <w:p w:rsidR="00000000" w:rsidDel="00000000" w:rsidP="00000000" w:rsidRDefault="00000000" w:rsidRPr="00000000">
            <w:pPr>
              <w:contextualSpacing w:val="0"/>
            </w:pPr>
            <w:r w:rsidDel="00000000" w:rsidR="00000000" w:rsidRPr="00000000">
              <w:rPr>
                <w:highlight w:val="white"/>
                <w:rtl w:val="0"/>
              </w:rPr>
              <w:tab/>
              <w:t xml:space="preserve">Ala Office of Water Resources and Troy University</w:t>
            </w:r>
          </w:p>
          <w:p w:rsidR="00000000" w:rsidDel="00000000" w:rsidP="00000000" w:rsidRDefault="00000000" w:rsidRPr="00000000">
            <w:pPr>
              <w:contextualSpacing w:val="0"/>
            </w:pPr>
            <w:r w:rsidDel="00000000" w:rsidR="00000000" w:rsidRPr="00000000">
              <w:rPr>
                <w:highlight w:val="white"/>
                <w:rtl w:val="0"/>
              </w:rPr>
              <w:tab/>
              <w:t xml:space="preserve">Florida Department of Environmental Protection</w:t>
            </w:r>
          </w:p>
          <w:p w:rsidR="00000000" w:rsidDel="00000000" w:rsidP="00000000" w:rsidRDefault="00000000" w:rsidRPr="00000000">
            <w:pPr>
              <w:contextualSpacing w:val="0"/>
            </w:pPr>
            <w:r w:rsidDel="00000000" w:rsidR="00000000" w:rsidRPr="00000000">
              <w:rPr>
                <w:highlight w:val="white"/>
                <w:rtl w:val="0"/>
              </w:rPr>
              <w:tab/>
              <w:t xml:space="preserve">Northwest Florida Water Management District</w:t>
            </w:r>
          </w:p>
          <w:p w:rsidR="00000000" w:rsidDel="00000000" w:rsidP="00000000" w:rsidRDefault="00000000" w:rsidRPr="00000000">
            <w:pPr>
              <w:contextualSpacing w:val="0"/>
            </w:pPr>
            <w:r w:rsidDel="00000000" w:rsidR="00000000" w:rsidRPr="00000000">
              <w:rPr>
                <w:highlight w:val="white"/>
                <w:rtl w:val="0"/>
              </w:rPr>
              <w:t xml:space="preserve">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Management Resources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TBD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CLAS water-use databases; GIS feature classes or geodatabases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Available withdrawal data will be compiled by water-use and project personnel in the Texas, LMG, and Florida WSCs. </w:t>
            </w:r>
          </w:p>
          <w:p w:rsidR="00000000" w:rsidDel="00000000" w:rsidP="00000000" w:rsidRDefault="00000000" w:rsidRPr="00000000">
            <w:pPr>
              <w:spacing w:before="120" w:lineRule="auto"/>
              <w:contextualSpacing w:val="0"/>
            </w:pPr>
            <w:r w:rsidDel="00000000" w:rsidR="00000000" w:rsidRPr="00000000">
              <w:rPr>
                <w:highlight w:val="white"/>
                <w:rtl w:val="0"/>
              </w:rPr>
              <w:t xml:space="preserve">Withdrawal data will be evaluated and separated into site-specific and aggregate data sets.  All water-use sector data, will be aggregated to the County level and groundwater withdrawals will be aggregated to the major aquifer. </w:t>
            </w:r>
          </w:p>
          <w:p w:rsidR="00000000" w:rsidDel="00000000" w:rsidP="00000000" w:rsidRDefault="00000000" w:rsidRPr="00000000">
            <w:pPr>
              <w:spacing w:before="120" w:lineRule="auto"/>
              <w:contextualSpacing w:val="0"/>
            </w:pPr>
            <w:r w:rsidDel="00000000" w:rsidR="00000000" w:rsidRPr="00000000">
              <w:rPr>
                <w:highlight w:val="white"/>
                <w:rtl w:val="0"/>
              </w:rPr>
              <w:t xml:space="preserve">Data will be compiled for the major sectors (public supply, industrial, irrigation, and thermoelectric).  Data compilation needs for the minor sectors (mining, aquaculture, livestock, and self-supplied domestic) are currently undefined and will depend on data needs for the model and available resources.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Protocols and Standards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compilation and processing will follow protocols and methods established for the National Water Use Compilation</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Project staff will review the compiled water-use data and compare data to the published national compilations to identify significant changes in water use by county, source, or sector.  Data compilation will follow QA/QC standards for the National Compilation and will be provided to the Regional Water-Use Specialists for review.</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Formal Metadata Standard Used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FGDC Content Standard for Digital Geospatial Metadata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Estimated less than 25 GB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During compilation, data will be stored on a USGS computer and periodically backed up to a network server.  Eventually, data will be included as site-specific and aggregated datasets within the 2 model archives and released on the WRD NSDI Node.</w:t>
            </w:r>
          </w:p>
          <w:p w:rsidR="00000000" w:rsidDel="00000000" w:rsidP="00000000" w:rsidRDefault="00000000" w:rsidRPr="00000000">
            <w:pPr>
              <w:spacing w:before="120" w:lineRule="auto"/>
              <w:contextualSpacing w:val="0"/>
            </w:pPr>
            <w:r w:rsidDel="00000000" w:rsidR="00000000" w:rsidRPr="00000000">
              <w:rPr>
                <w:highlight w:val="white"/>
                <w:rtl w:val="0"/>
              </w:rPr>
              <w:t xml:space="preserve"> Version control, incorporating new or revised data, will be achieved through data aging.</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Repository: ScienceBase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http://water.usgs.gov/lookup/getgislist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All data will reside on USGS network computers and will be secured by the network protocols. None of the data will be available to public until the data and report(s) are approved and a data archive is made available. Until that time, only project personnel involved in compilation of the data will have access to the project data files.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Access to site-specific PWS locations will be limited and will not be made publically available. Access to proprietary well location or pumping data will not be made publically available.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Digital Object Identifiers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90"/>
        <w:gridCol w:w="6390"/>
        <w:tblGridChange w:id="0">
          <w:tblGrid>
            <w:gridCol w:w="2490"/>
            <w:gridCol w:w="639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1ftj44kq40md" w:id="4"/>
            <w:bookmarkEnd w:id="4"/>
            <w:r w:rsidDel="00000000" w:rsidR="00000000" w:rsidRPr="00000000">
              <w:rPr>
                <w:b w:val="1"/>
                <w:sz w:val="34"/>
                <w:szCs w:val="34"/>
                <w:shd w:fill="c6d9f1" w:val="clear"/>
                <w:rtl w:val="0"/>
              </w:rPr>
              <w:t xml:space="preserve">Data Input – New Data: Site-Specific groundwater withdrawals from the Coastal Lowland Aquifer System</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Site-specific water groundwater withdrawals from the Coastal Lowland Aquifer System (CLAS) will be compiled.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Management Resources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CLAS water-use databases; GIS feature classes or geodatabases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Facility-specific groundwater withdrawals for public suppliers, industries, and other water-using entities within the study area will be obtained from the various state and local agencies and identified for the Coastal Lowlands Aquifer System and other aquifers based on well construction, drillers records, or other information.  Withdrawals for irrigation and other county-aggregated water-use data will be disaggregated and assigned to wells and aquifers based on location, local conditions, well construction, and other information where available.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Protocols and Standards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 protocols or standards exist for the compilation of these 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USGS personnel assigned to the CLAS study will compile the data and load the results into a CLAS water-use database.  QA/QC procedures established by the WSC’s, OGW, and the National Water-Use Compilation will be applied to evaluate the data.  Typically, data will be evaluated based on location, well construction, completeness of record, and comparison with county water use 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Formal Metadata Standard Used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FGDC Content Standard for Digital Geospatial Metadata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Estimated less than 50 GB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will be stored on a USGS computer and periodically backed up to a network server.  Eventually, data will be released through the two model archives on the WRD NSDI Node.  Version control, incorporating new or revised data, will be achieved through data aging.</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Repository: ScienceBase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http://water.usgs.gov/lookup/getgislist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All data will reside on USGS network computers and will be secured by the network protocols. Site-specific location data will be restricted and will not be available to public.   Site-specific water use data will be incorporated into the models without specific locations. Until that time, only project personnel involved in compilation of the data will have access to the project data files.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Site-specific location data will be restricted and will not be available to public.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Digital Object Identifiers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85"/>
        <w:gridCol w:w="7095"/>
        <w:tblGridChange w:id="0">
          <w:tblGrid>
            <w:gridCol w:w="1785"/>
            <w:gridCol w:w="7095"/>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4ce6muty6hy1" w:id="5"/>
            <w:bookmarkEnd w:id="5"/>
            <w:r w:rsidDel="00000000" w:rsidR="00000000" w:rsidRPr="00000000">
              <w:rPr>
                <w:b w:val="1"/>
                <w:sz w:val="34"/>
                <w:szCs w:val="34"/>
                <w:shd w:fill="c6d9f1" w:val="clear"/>
                <w:rtl w:val="0"/>
              </w:rPr>
              <w:t xml:space="preserve">Data Input – Existing Data: National Land Cover Database (NCLD) for 2011</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before="120" w:line="276" w:lineRule="auto"/>
              <w:contextualSpacing w:val="0"/>
            </w:pPr>
            <w:r w:rsidDel="00000000" w:rsidR="00000000" w:rsidRPr="00000000">
              <w:rPr>
                <w:sz w:val="20"/>
                <w:szCs w:val="20"/>
                <w:highlight w:val="white"/>
                <w:rtl w:val="0"/>
              </w:rPr>
              <w:t xml:space="preserve">GIS data, including the National Land Cover Database (NLCD) for 2011, will be used to evaluate </w:t>
            </w:r>
            <w:r w:rsidDel="00000000" w:rsidR="00000000" w:rsidRPr="00000000">
              <w:rPr>
                <w:sz w:val="20"/>
                <w:szCs w:val="20"/>
                <w:highlight w:val="white"/>
                <w:rtl w:val="0"/>
              </w:rPr>
              <w:t xml:space="preserve">land cover changes</w:t>
            </w:r>
            <w:r w:rsidDel="00000000" w:rsidR="00000000" w:rsidRPr="00000000">
              <w:rPr>
                <w:sz w:val="20"/>
                <w:szCs w:val="20"/>
                <w:highlight w:val="white"/>
                <w:rtl w:val="0"/>
              </w:rPr>
              <w:t xml:space="preserve"> and  irrigated areas of the CLAS study area.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Not applicable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Not applicable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Source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National Agricultural Statistics Service Cropland Data Layer (CDL) and the National Land Cover Database (NLCD)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before="120" w:line="276" w:lineRule="auto"/>
              <w:contextualSpacing w:val="0"/>
            </w:pPr>
            <w:r w:rsidDel="00000000" w:rsidR="00000000" w:rsidRPr="00000000">
              <w:rPr>
                <w:sz w:val="20"/>
                <w:szCs w:val="20"/>
                <w:highlight w:val="white"/>
                <w:rtl w:val="0"/>
              </w:rPr>
              <w:t xml:space="preserve">Land Cover and irrigated areas of the basin will be delineated from the USDA Cropland Data Layer (CDL) or the National Land Cover Database (NLCD) for using a GIS (ArcGIS).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During compilation, data will be stored on a USGS computer and periodically backed up to a network server.</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To be determined -- estimate about 2 GB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All data will reside on USGS network computers and will be secured by the network protocols. Only project personnel involved in compilation of the data will have access to the project data files.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http://gisdata.usgs.gov/TDDS/DownloadFile.php?TYPE=nlcd2011&amp;FNAME=nlcd_2011_landcover_2011_edition_2014_10_10.zip</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276" w:lineRule="auto"/>
              <w:contextualSpacing w:val="0"/>
            </w:pPr>
            <w:r w:rsidDel="00000000" w:rsidR="00000000" w:rsidRPr="00000000">
              <w:rPr>
                <w:sz w:val="20"/>
                <w:szCs w:val="20"/>
                <w:highlight w:val="white"/>
                <w:rtl w:val="0"/>
              </w:rPr>
              <w:t xml:space="preserve">To be determined</w:t>
            </w:r>
          </w:p>
        </w:tc>
      </w:tr>
    </w:tbl>
    <w:p w:rsidR="00000000" w:rsidDel="00000000" w:rsidP="00000000" w:rsidRDefault="00000000" w:rsidRPr="00000000">
      <w:pPr>
        <w:contextualSpacing w:val="0"/>
      </w:pPr>
      <w:r w:rsidDel="00000000" w:rsidR="00000000" w:rsidRPr="00000000">
        <w:rPr>
          <w:rtl w:val="0"/>
        </w:rPr>
      </w:r>
    </w:p>
    <w:tbl>
      <w:tblPr>
        <w:tblStyle w:val="Table5"/>
        <w:bidi w:val="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480"/>
        <w:tblGridChange w:id="0">
          <w:tblGrid>
            <w:gridCol w:w="2400"/>
            <w:gridCol w:w="648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yj66pyeyddrv" w:id="6"/>
            <w:bookmarkEnd w:id="6"/>
            <w:r w:rsidDel="00000000" w:rsidR="00000000" w:rsidRPr="00000000">
              <w:rPr>
                <w:b w:val="1"/>
                <w:sz w:val="34"/>
                <w:szCs w:val="34"/>
                <w:shd w:fill="c6d9f1" w:val="clear"/>
                <w:rtl w:val="0"/>
              </w:rPr>
              <w:t xml:space="preserve">Data Input – Existing Data: Model files from the RASA Coastal Aquifer study</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Model files and data sets from the Gulf Coast RASA (GCRASA) study.  Results of the investigations and the groundwater flow models are described in various chapters of the USGS Professional Paper 1416.</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MODFLOW text files, geospatial data sets, text tabular data, MODFLOW executable files, and other descriptive text files.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sets and model files will be reviewed for completeness.  Geospatial data sets will be loaded and evaluated for proper datum and projection.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Source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files were archived and are available on both the internal Texas and LMG WSC servers.  Models and data sets are described in:</w:t>
            </w:r>
          </w:p>
          <w:p w:rsidR="00000000" w:rsidDel="00000000" w:rsidP="00000000" w:rsidRDefault="00000000" w:rsidRPr="00000000">
            <w:pPr>
              <w:spacing w:before="120" w:lineRule="auto"/>
              <w:contextualSpacing w:val="0"/>
            </w:pPr>
            <w:r w:rsidDel="00000000" w:rsidR="00000000" w:rsidRPr="00000000">
              <w:rPr>
                <w:highlight w:val="white"/>
                <w:rtl w:val="0"/>
              </w:rPr>
              <w:t xml:space="preserve">Martin and Whiteman, 1999, Hydrology of the Coastal Lowlands Aquifer System in Parts of Alabama, Florida, Louisiana, and Mississippi: USGS Professional Paper 1416-I, 51 p.</w:t>
            </w:r>
            <w:hyperlink r:id="rId5">
              <w:r w:rsidDel="00000000" w:rsidR="00000000" w:rsidRPr="00000000">
                <w:rPr>
                  <w:highlight w:val="white"/>
                  <w:rtl w:val="0"/>
                </w:rPr>
                <w:t xml:space="preserve"> </w:t>
              </w:r>
            </w:hyperlink>
            <w:hyperlink r:id="rId6">
              <w:r w:rsidDel="00000000" w:rsidR="00000000" w:rsidRPr="00000000">
                <w:rPr>
                  <w:i w:val="1"/>
                  <w:color w:val="1155cc"/>
                  <w:highlight w:val="white"/>
                  <w:u w:val="single"/>
                  <w:rtl w:val="0"/>
                </w:rPr>
                <w:t xml:space="preserve">https://pubs.er.usgs.gov/publication/pp1416H</w:t>
              </w:r>
            </w:hyperlink>
          </w:p>
          <w:p w:rsidR="00000000" w:rsidDel="00000000" w:rsidP="00000000" w:rsidRDefault="00000000" w:rsidRPr="00000000">
            <w:pPr>
              <w:spacing w:before="120" w:lineRule="auto"/>
              <w:contextualSpacing w:val="0"/>
            </w:pPr>
            <w:r w:rsidDel="00000000" w:rsidR="00000000" w:rsidRPr="00000000">
              <w:rPr>
                <w:highlight w:val="white"/>
                <w:rtl w:val="0"/>
              </w:rPr>
              <w:t xml:space="preserve">Ryder and Ardis, 2002, Hydrology of the Texas Gulf Coast Aquifer Systems: USGS Professional Paper 1416-E, 77 p.,</w:t>
            </w:r>
            <w:hyperlink r:id="rId7">
              <w:r w:rsidDel="00000000" w:rsidR="00000000" w:rsidRPr="00000000">
                <w:rPr>
                  <w:highlight w:val="white"/>
                  <w:rtl w:val="0"/>
                </w:rPr>
                <w:t xml:space="preserve"> </w:t>
              </w:r>
            </w:hyperlink>
            <w:hyperlink r:id="rId8">
              <w:r w:rsidDel="00000000" w:rsidR="00000000" w:rsidRPr="00000000">
                <w:rPr>
                  <w:i w:val="1"/>
                  <w:color w:val="1155cc"/>
                  <w:highlight w:val="white"/>
                  <w:u w:val="single"/>
                  <w:rtl w:val="0"/>
                </w:rPr>
                <w:t xml:space="preserve">https://pubs.er.usgs.gov/publication/pp1416E</w:t>
              </w:r>
            </w:hyperlink>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will be extracted from the static data sets and integrated for use in the CLAS model</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The static data sets and model files are on both Texas and LMG WSC servers and backed up as part of standard procedures.  The files are static and no version control is necessary.</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10-15 GB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Archived data sets and model files reside on USGS network computers and are secured by the network protocols.  The archives are public-domain data sets and can be made available if requested.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Any data containing personally identifiable information will be secured.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Martin and Whiteman, 1999, Hydrology of the Coastal Lowlands Aquifer System in Parts of Alabama, Florida, Louisiana, and Mississippi: USGS Professional Paper 1416-I, 51 p.</w:t>
            </w:r>
            <w:hyperlink r:id="rId9">
              <w:r w:rsidDel="00000000" w:rsidR="00000000" w:rsidRPr="00000000">
                <w:rPr>
                  <w:highlight w:val="white"/>
                  <w:rtl w:val="0"/>
                </w:rPr>
                <w:t xml:space="preserve"> </w:t>
              </w:r>
            </w:hyperlink>
            <w:hyperlink r:id="rId10">
              <w:r w:rsidDel="00000000" w:rsidR="00000000" w:rsidRPr="00000000">
                <w:rPr>
                  <w:i w:val="1"/>
                  <w:color w:val="1155cc"/>
                  <w:highlight w:val="white"/>
                  <w:u w:val="single"/>
                  <w:rtl w:val="0"/>
                </w:rPr>
                <w:t xml:space="preserve">https://pubs.er.usgs.gov/publication/pp1416H</w:t>
              </w:r>
            </w:hyperlink>
          </w:p>
          <w:p w:rsidR="00000000" w:rsidDel="00000000" w:rsidP="00000000" w:rsidRDefault="00000000" w:rsidRPr="00000000">
            <w:pPr>
              <w:spacing w:before="120" w:lineRule="auto"/>
              <w:contextualSpacing w:val="0"/>
            </w:pPr>
            <w:r w:rsidDel="00000000" w:rsidR="00000000" w:rsidRPr="00000000">
              <w:rPr>
                <w:highlight w:val="white"/>
                <w:rtl w:val="0"/>
              </w:rPr>
              <w:t xml:space="preserve">Ryder and Ardis, 2002, Hydrology of the Texas Gulf Coast Aquifer Systems: USGS Professional Paper 1416-E, 77 p.,</w:t>
            </w:r>
            <w:hyperlink r:id="rId11">
              <w:r w:rsidDel="00000000" w:rsidR="00000000" w:rsidRPr="00000000">
                <w:rPr>
                  <w:highlight w:val="white"/>
                  <w:rtl w:val="0"/>
                </w:rPr>
                <w:t xml:space="preserve"> </w:t>
              </w:r>
            </w:hyperlink>
            <w:hyperlink r:id="rId12">
              <w:r w:rsidDel="00000000" w:rsidR="00000000" w:rsidRPr="00000000">
                <w:rPr>
                  <w:i w:val="1"/>
                  <w:color w:val="1155cc"/>
                  <w:highlight w:val="white"/>
                  <w:u w:val="single"/>
                  <w:rtl w:val="0"/>
                </w:rPr>
                <w:t xml:space="preserve">https://pubs.er.usgs.gov/publication/pp1416E</w:t>
              </w:r>
            </w:hyperlink>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Brian Clark, brclark@usgs.gov</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
        <w:bidi w:val="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480"/>
        <w:tblGridChange w:id="0">
          <w:tblGrid>
            <w:gridCol w:w="2400"/>
            <w:gridCol w:w="648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8pfx2z4fdbha" w:id="7"/>
            <w:bookmarkEnd w:id="7"/>
            <w:r w:rsidDel="00000000" w:rsidR="00000000" w:rsidRPr="00000000">
              <w:rPr>
                <w:b w:val="1"/>
                <w:sz w:val="34"/>
                <w:szCs w:val="34"/>
                <w:shd w:fill="c6d9f1" w:val="clear"/>
                <w:rtl w:val="0"/>
              </w:rPr>
              <w:t xml:space="preserve">Data</w:t>
            </w:r>
            <w:r w:rsidDel="00000000" w:rsidR="00000000" w:rsidRPr="00000000">
              <w:rPr>
                <w:b w:val="1"/>
                <w:sz w:val="34"/>
                <w:szCs w:val="34"/>
                <w:shd w:fill="c6d9f1" w:val="clear"/>
                <w:rtl w:val="0"/>
              </w:rPr>
              <w:t xml:space="preserve"> Input – Existing Data: Model files from the TWDB Availability Models (GAMS)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Model files and data sets from the Texas Water Development Board Groundwater Availability Model (GAMs).  Results of the groundwater flow model are described in numerous reports availiable from the TWDB (http://www.twdb.texas.gov/groundwater/models/index.asp)</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MODFLOW text files, geospatial data sets, text tabular data, MODFLOW executable files, and other descriptive text files.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sets and model files will be reviewed for completeness.  Geospatial data sets will be loaded and evaluated for proper datum and projection.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Source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files are available by request from the TWDB</w:t>
            </w:r>
            <w:hyperlink r:id="rId13">
              <w:r w:rsidDel="00000000" w:rsidR="00000000" w:rsidRPr="00000000">
                <w:rPr>
                  <w:rtl w:val="0"/>
                </w:rPr>
              </w:r>
            </w:hyperlink>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will be extracted from the static data sets and integrated into development of the framework and development of the prior uncertainty distribution for the CLAS model. Point datasets will be used where available and raster or interpolated data will be used to support point data.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The static data sets and model files are available by request from TWDB.  The files are static and no version control is necessary.</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&gt;100 GB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Archived data sets and model files reside on USGS network computers and are secured by the network protocols.  The archives are public-domain data sets and can be made available if requested.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Any data containing personally identifiable information will be secured.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various</w:t>
            </w:r>
            <w:hyperlink r:id="rId14">
              <w:r w:rsidDel="00000000" w:rsidR="00000000" w:rsidRPr="00000000">
                <w:rPr>
                  <w:rtl w:val="0"/>
                </w:rPr>
              </w:r>
            </w:hyperlink>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David Thorkildsen, gam@twdb.texas.gov</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
        <w:bidi w:val="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375"/>
        <w:tblGridChange w:id="0">
          <w:tblGrid>
            <w:gridCol w:w="2505"/>
            <w:gridCol w:w="6375"/>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baml0eqf30im" w:id="8"/>
            <w:bookmarkEnd w:id="8"/>
            <w:r w:rsidDel="00000000" w:rsidR="00000000" w:rsidRPr="00000000">
              <w:rPr>
                <w:b w:val="1"/>
                <w:sz w:val="34"/>
                <w:szCs w:val="34"/>
                <w:shd w:fill="c6d9f1" w:val="clear"/>
                <w:rtl w:val="0"/>
              </w:rPr>
              <w:t xml:space="preserve">Data</w:t>
            </w:r>
            <w:r w:rsidDel="00000000" w:rsidR="00000000" w:rsidRPr="00000000">
              <w:rPr>
                <w:b w:val="1"/>
                <w:sz w:val="34"/>
                <w:szCs w:val="34"/>
                <w:shd w:fill="c6d9f1" w:val="clear"/>
                <w:rtl w:val="0"/>
              </w:rPr>
              <w:t xml:space="preserve"> Input – Existing Data: Water level and streamflow data from National Water Information System (NWIS)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Water-level and streamflow data downloaded from the National Water Information System</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Tabular data as text or spreadsheet files ( TXT, CSV, XCL)</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Quality control will be focused on derived data sets produced from downloaded NWIS 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Source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National Water Information System, http://waterdata.usgs.gov/nwis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The static data will be used to produce derived data sets that are in the proper units for the geohydrologic analysis. </w:t>
            </w:r>
          </w:p>
          <w:p w:rsidR="00000000" w:rsidDel="00000000" w:rsidP="00000000" w:rsidRDefault="00000000" w:rsidRPr="00000000">
            <w:pPr>
              <w:spacing w:before="120" w:lineRule="auto"/>
              <w:contextualSpacing w:val="0"/>
            </w:pPr>
            <w:r w:rsidDel="00000000" w:rsidR="00000000" w:rsidRPr="00000000">
              <w:rPr>
                <w:highlight w:val="white"/>
                <w:rtl w:val="0"/>
              </w:rPr>
              <w:t xml:space="preserve">Data used in support of model activities (trend analysis, potentiometric surface, water-table maps) will be compiled into separate data files and stored with CLAS project files.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These data will be stored in the appropriate files for the data type and in a project geodatabase repository. Metadata will be stored with the data sets.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z w:val="24"/>
                <w:szCs w:val="24"/>
                <w:shd w:fill="dbe5f1" w:val="clear"/>
                <w:rtl w:val="0"/>
              </w:rPr>
              <w:t xml:space="preserve">Repository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Original data will be unaltered and reside in NWIS (GWSI and ADAPS).  Data used in support of model activities (trend analysis, potentiometric surface, water-table maps) and associated metadata will be uploaded within the model archives to the WRD NSDI Node at http://water.usgs.gov/lookup/getgislist</w:t>
            </w:r>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100 MB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Original data will not be changed.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Any data containing personally identifiable information will be secured.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
        <w:bidi w:val="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375"/>
        <w:tblGridChange w:id="0">
          <w:tblGrid>
            <w:gridCol w:w="2505"/>
            <w:gridCol w:w="6375"/>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f45gblamb9hu" w:id="9"/>
            <w:bookmarkEnd w:id="9"/>
            <w:r w:rsidDel="00000000" w:rsidR="00000000" w:rsidRPr="00000000">
              <w:rPr>
                <w:b w:val="1"/>
                <w:sz w:val="34"/>
                <w:szCs w:val="34"/>
                <w:shd w:fill="c6d9f1" w:val="clear"/>
                <w:rtl w:val="0"/>
              </w:rPr>
              <w:t xml:space="preserve">Data</w:t>
            </w:r>
            <w:r w:rsidDel="00000000" w:rsidR="00000000" w:rsidRPr="00000000">
              <w:rPr>
                <w:b w:val="1"/>
                <w:sz w:val="34"/>
                <w:szCs w:val="34"/>
                <w:shd w:fill="c6d9f1" w:val="clear"/>
                <w:rtl w:val="0"/>
              </w:rPr>
              <w:t xml:space="preserve"> Input – Existing Data: Water level and streamflow data from state and local agencies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Water-level and streamflow data from the State agencies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Tabular data as text or spreadsheet files ( TXT, CSV, XCL)</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Quality control will be focused on verification of the site location, land-surface or water-level elevation, correct aquifer (for groundwater), and comparison of data to other nearby data points to identify outliers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Source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0" w:line="240" w:lineRule="auto"/>
              <w:contextualSpacing w:val="0"/>
            </w:pPr>
            <w:r w:rsidDel="00000000" w:rsidR="00000000" w:rsidRPr="00000000">
              <w:rPr>
                <w:highlight w:val="white"/>
                <w:rtl w:val="0"/>
              </w:rPr>
              <w:t xml:space="preserve">Agencies with known water-level data are:</w:t>
            </w:r>
          </w:p>
          <w:p w:rsidR="00000000" w:rsidDel="00000000" w:rsidP="00000000" w:rsidRDefault="00000000" w:rsidRPr="00000000">
            <w:pPr>
              <w:spacing w:before="0" w:line="240" w:lineRule="auto"/>
              <w:contextualSpacing w:val="0"/>
            </w:pPr>
            <w:r w:rsidDel="00000000" w:rsidR="00000000" w:rsidRPr="00000000">
              <w:rPr>
                <w:highlight w:val="white"/>
                <w:rtl w:val="0"/>
              </w:rPr>
              <w:t xml:space="preserve">     Geological Survey of Alabama</w:t>
            </w:r>
          </w:p>
          <w:p w:rsidR="00000000" w:rsidDel="00000000" w:rsidP="00000000" w:rsidRDefault="00000000" w:rsidRPr="00000000">
            <w:pPr>
              <w:spacing w:before="0" w:line="240" w:lineRule="auto"/>
              <w:contextualSpacing w:val="0"/>
            </w:pPr>
            <w:r w:rsidDel="00000000" w:rsidR="00000000" w:rsidRPr="00000000">
              <w:rPr>
                <w:highlight w:val="white"/>
                <w:rtl w:val="0"/>
              </w:rPr>
              <w:t xml:space="preserve">     Mississippi Department of Environmental Quality</w:t>
            </w:r>
          </w:p>
          <w:p w:rsidR="00000000" w:rsidDel="00000000" w:rsidP="00000000" w:rsidRDefault="00000000" w:rsidRPr="00000000">
            <w:pPr>
              <w:spacing w:before="0" w:line="240" w:lineRule="auto"/>
              <w:contextualSpacing w:val="0"/>
            </w:pPr>
            <w:r w:rsidDel="00000000" w:rsidR="00000000" w:rsidRPr="00000000">
              <w:rPr>
                <w:highlight w:val="white"/>
                <w:rtl w:val="0"/>
              </w:rPr>
              <w:t xml:space="preserve">     </w:t>
            </w:r>
            <w:r w:rsidDel="00000000" w:rsidR="00000000" w:rsidRPr="00000000">
              <w:rPr>
                <w:rtl w:val="0"/>
              </w:rPr>
              <w:t xml:space="preserve">Texas Water Development Board</w:t>
            </w:r>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rPr>
                <w:highlight w:val="white"/>
                <w:rtl w:val="0"/>
              </w:rPr>
              <w:t xml:space="preserve">     </w:t>
            </w:r>
            <w:r w:rsidDel="00000000" w:rsidR="00000000" w:rsidRPr="00000000">
              <w:rPr>
                <w:rtl w:val="0"/>
              </w:rPr>
              <w:t xml:space="preserve">Florida Department of Environmental Protection</w:t>
            </w:r>
          </w:p>
          <w:p w:rsidR="00000000" w:rsidDel="00000000" w:rsidP="00000000" w:rsidRDefault="00000000" w:rsidRPr="00000000">
            <w:pPr>
              <w:spacing w:before="0" w:line="240" w:lineRule="auto"/>
              <w:contextualSpacing w:val="0"/>
            </w:pPr>
            <w:r w:rsidDel="00000000" w:rsidR="00000000" w:rsidRPr="00000000">
              <w:rPr>
                <w:rtl w:val="0"/>
              </w:rPr>
              <w:t xml:space="preserve">     Local Groundwater Conservation Districts within Texas</w:t>
            </w:r>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The static data will be used to produce derived data sets that are in the proper units for the geohydrologic analysis. </w:t>
            </w:r>
          </w:p>
          <w:p w:rsidR="00000000" w:rsidDel="00000000" w:rsidP="00000000" w:rsidRDefault="00000000" w:rsidRPr="00000000">
            <w:pPr>
              <w:spacing w:before="120" w:lineRule="auto"/>
              <w:contextualSpacing w:val="0"/>
            </w:pPr>
            <w:r w:rsidDel="00000000" w:rsidR="00000000" w:rsidRPr="00000000">
              <w:rPr>
                <w:highlight w:val="white"/>
                <w:rtl w:val="0"/>
              </w:rPr>
              <w:t xml:space="preserve">Data used in support of model activities (trend analysis, potentiometric surface, water-table maps) will be compiled into separate data files and stored with CLAS project files.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These data will be stored in the appropriate files for the data type and in a project geodatabase repository. Metadata will be stored with the data sets.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z w:val="24"/>
                <w:szCs w:val="24"/>
                <w:shd w:fill="dbe5f1" w:val="clear"/>
                <w:rtl w:val="0"/>
              </w:rPr>
              <w:t xml:space="preserve">Repository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Original data will be unaltered and reside in on the project database.  Data used in support of model activities (trend analysis, potentiometric surface, water-table maps) and associated metadata will be uploaded within the model archives to the WRD NSDI Node here http://water.usgs.gov/lookup/getgislist</w:t>
            </w:r>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50 MB</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Original data will not be changed.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Any data containing personally identifiable information will be secured.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9"/>
        <w:bidi w:val="0"/>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7920"/>
        <w:tblGridChange w:id="0">
          <w:tblGrid>
            <w:gridCol w:w="1380"/>
            <w:gridCol w:w="792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25ghbj20v5m8" w:id="10"/>
            <w:bookmarkEnd w:id="10"/>
            <w:r w:rsidDel="00000000" w:rsidR="00000000" w:rsidRPr="00000000">
              <w:rPr>
                <w:b w:val="1"/>
                <w:sz w:val="34"/>
                <w:szCs w:val="34"/>
                <w:shd w:fill="c6d9f1" w:val="clear"/>
                <w:rtl w:val="0"/>
              </w:rPr>
              <w:t xml:space="preserve">Data Input – Existing Data: Geophysical logs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Available geophysical logs will be identified and compiled as needed to verify or update the hydrogeologic framework of the CLAS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Media Dependent.  Priority will be given to digital data and producing data format consistent with USGS and industry standard (.las – log ASCII standard) data files.  Some logs may be paper copy only and will be scanned as .pdf files.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Logs and log header information will be evaluated for correct location, log datum (land surface, TOC or KB) complete header information, appropriate log type and measurement units.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Sources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highlight w:val="white"/>
                <w:rtl w:val="0"/>
              </w:rPr>
              <w:t xml:space="preserve">Geophysical logs may be compiled from various federal and state agencies, drillers, and local sources.  Sources include, but are not limited to:</w:t>
            </w:r>
          </w:p>
          <w:p w:rsidR="00000000" w:rsidDel="00000000" w:rsidP="00000000" w:rsidRDefault="00000000" w:rsidRPr="00000000">
            <w:pPr>
              <w:contextualSpacing w:val="0"/>
            </w:pPr>
            <w:r w:rsidDel="00000000" w:rsidR="00000000" w:rsidRPr="00000000">
              <w:rPr>
                <w:highlight w:val="white"/>
                <w:rtl w:val="0"/>
              </w:rPr>
              <w:t xml:space="preserve">   USGS – WSCs and LogArchiver</w:t>
            </w:r>
          </w:p>
          <w:p w:rsidR="00000000" w:rsidDel="00000000" w:rsidP="00000000" w:rsidRDefault="00000000" w:rsidRPr="00000000">
            <w:pPr>
              <w:contextualSpacing w:val="0"/>
            </w:pPr>
            <w:r w:rsidDel="00000000" w:rsidR="00000000" w:rsidRPr="00000000">
              <w:rPr>
                <w:highlight w:val="white"/>
                <w:rtl w:val="0"/>
              </w:rPr>
              <w:t xml:space="preserve">   Geological Survey of Alabama</w:t>
            </w:r>
          </w:p>
          <w:p w:rsidR="00000000" w:rsidDel="00000000" w:rsidP="00000000" w:rsidRDefault="00000000" w:rsidRPr="00000000">
            <w:pPr>
              <w:contextualSpacing w:val="0"/>
            </w:pPr>
            <w:r w:rsidDel="00000000" w:rsidR="00000000" w:rsidRPr="00000000">
              <w:rPr>
                <w:highlight w:val="white"/>
                <w:rtl w:val="0"/>
              </w:rPr>
              <w:t xml:space="preserve">   Florida Geological Survey (FGS) - Well Index Geophysical Logs</w:t>
            </w:r>
          </w:p>
          <w:p w:rsidR="00000000" w:rsidDel="00000000" w:rsidP="00000000" w:rsidRDefault="00000000" w:rsidRPr="00000000">
            <w:pPr>
              <w:contextualSpacing w:val="0"/>
            </w:pPr>
            <w:r w:rsidDel="00000000" w:rsidR="00000000" w:rsidRPr="00000000">
              <w:rPr>
                <w:highlight w:val="white"/>
                <w:rtl w:val="0"/>
              </w:rPr>
              <w:t xml:space="preserve">   MDEQ – Mississippi Environmental Division</w:t>
            </w:r>
          </w:p>
          <w:p w:rsidR="00000000" w:rsidDel="00000000" w:rsidP="00000000" w:rsidRDefault="00000000" w:rsidRPr="00000000">
            <w:pPr>
              <w:contextualSpacing w:val="0"/>
            </w:pPr>
            <w:r w:rsidDel="00000000" w:rsidR="00000000" w:rsidRPr="00000000">
              <w:rPr>
                <w:highlight w:val="white"/>
                <w:rtl w:val="0"/>
              </w:rPr>
              <w:t xml:space="preserve">   Louisiana Geological Survey –</w:t>
            </w:r>
            <w:hyperlink r:id="rId15">
              <w:r w:rsidDel="00000000" w:rsidR="00000000" w:rsidRPr="00000000">
                <w:rPr>
                  <w:highlight w:val="white"/>
                  <w:u w:val="single"/>
                  <w:rtl w:val="0"/>
                </w:rPr>
                <w:t xml:space="preserve"> </w:t>
              </w:r>
            </w:hyperlink>
            <w:hyperlink r:id="rId16">
              <w:r w:rsidDel="00000000" w:rsidR="00000000" w:rsidRPr="00000000">
                <w:rPr>
                  <w:color w:val="1155cc"/>
                  <w:highlight w:val="white"/>
                  <w:u w:val="single"/>
                  <w:rtl w:val="0"/>
                </w:rPr>
                <w:t xml:space="preserve">Well Log Library</w:t>
              </w:r>
            </w:hyperlink>
          </w:p>
          <w:p w:rsidR="00000000" w:rsidDel="00000000" w:rsidP="00000000" w:rsidRDefault="00000000" w:rsidRPr="00000000">
            <w:pPr>
              <w:contextualSpacing w:val="0"/>
            </w:pPr>
            <w:r w:rsidDel="00000000" w:rsidR="00000000" w:rsidRPr="00000000">
              <w:rPr>
                <w:highlight w:val="white"/>
                <w:rtl w:val="0"/>
              </w:rPr>
              <w:t xml:space="preserve">   Texas Bureau of Economic</w:t>
            </w:r>
            <w:hyperlink r:id="rId17">
              <w:r w:rsidDel="00000000" w:rsidR="00000000" w:rsidRPr="00000000">
                <w:rPr>
                  <w:highlight w:val="white"/>
                  <w:rtl w:val="0"/>
                </w:rPr>
                <w:t xml:space="preserve"> </w:t>
              </w:r>
            </w:hyperlink>
            <w:hyperlink r:id="rId18">
              <w:r w:rsidDel="00000000" w:rsidR="00000000" w:rsidRPr="00000000">
                <w:rPr>
                  <w:color w:val="1155cc"/>
                  <w:highlight w:val="white"/>
                  <w:u w:val="single"/>
                  <w:rtl w:val="0"/>
                </w:rPr>
                <w:t xml:space="preserve">Geology Core and Log Database</w:t>
              </w:r>
            </w:hyperlink>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Logs will be compiled, checked, and placed in the project repository with metadata.  Digital data will be processed to .las format as needed. Data will be extracted for hydrogeologic framework, including formation contacts (depth and elevation) and gross classification (aquifer / confining unit). Derived data sets from the geophysical logs will be stored in the project repository.</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Original files will be stored in the original format in the project database. Metadata and produced .las files will be stored with the data sets.  The project database files will be backed up as part of the standard USGS procedures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100 MB  -- dependent on original log format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All data will reside on USGS network computers and will be secured by the network protocols.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Any .las files or scanned images containing personally identifiable information or the name of a public-water system will be secured.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Unknown at this time.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hyperlink r:id="rId19">
              <w:r w:rsidDel="00000000" w:rsidR="00000000" w:rsidRPr="00000000">
                <w:rPr>
                  <w:color w:val="1155cc"/>
                  <w:highlight w:val="white"/>
                  <w:u w:val="single"/>
                  <w:rtl w:val="0"/>
                </w:rPr>
                <w:t xml:space="preserve">http://igor.beg.utexas.edu/crc2/</w:t>
              </w:r>
            </w:hyperlink>
          </w:p>
          <w:p w:rsidR="00000000" w:rsidDel="00000000" w:rsidP="00000000" w:rsidRDefault="00000000" w:rsidRPr="00000000">
            <w:pPr>
              <w:contextualSpacing w:val="0"/>
            </w:pPr>
            <w:hyperlink r:id="rId20">
              <w:r w:rsidDel="00000000" w:rsidR="00000000" w:rsidRPr="00000000">
                <w:rPr>
                  <w:i w:val="1"/>
                  <w:color w:val="1155cc"/>
                  <w:highlight w:val="white"/>
                  <w:u w:val="single"/>
                  <w:rtl w:val="0"/>
                </w:rPr>
                <w:t xml:space="preserve">http://www.lgs.lsu.edu/deploy/content/PUBLI/contentpage16.php</w:t>
              </w:r>
            </w:hyperlink>
          </w:p>
          <w:p w:rsidR="00000000" w:rsidDel="00000000" w:rsidP="00000000" w:rsidRDefault="00000000" w:rsidRPr="00000000">
            <w:pPr>
              <w:contextualSpacing w:val="0"/>
            </w:pPr>
            <w:hyperlink r:id="rId21">
              <w:r w:rsidDel="00000000" w:rsidR="00000000" w:rsidRPr="00000000">
                <w:rPr>
                  <w:i w:val="1"/>
                  <w:color w:val="1155cc"/>
                  <w:highlight w:val="white"/>
                  <w:u w:val="single"/>
                  <w:rtl w:val="0"/>
                </w:rPr>
                <w:t xml:space="preserve">http://geodata.dep.state.fl.us/datasets/3367c786938a4d5084c120c3772c7434_2</w:t>
              </w:r>
            </w:hyperlink>
          </w:p>
          <w:p w:rsidR="00000000" w:rsidDel="00000000" w:rsidP="00000000" w:rsidRDefault="00000000" w:rsidRPr="00000000">
            <w:pPr>
              <w:contextualSpacing w:val="0"/>
            </w:pPr>
            <w:hyperlink r:id="rId22">
              <w:r w:rsidDel="00000000" w:rsidR="00000000" w:rsidRPr="00000000">
                <w:rPr>
                  <w:i w:val="1"/>
                  <w:color w:val="1155cc"/>
                  <w:highlight w:val="white"/>
                  <w:u w:val="single"/>
                  <w:rtl w:val="0"/>
                </w:rPr>
                <w:t xml:space="preserve">http://www.gsa.state.al.us/gsa/geologic.html</w:t>
              </w:r>
            </w:hyperlink>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90"/>
        <w:gridCol w:w="6390"/>
        <w:tblGridChange w:id="0">
          <w:tblGrid>
            <w:gridCol w:w="2490"/>
            <w:gridCol w:w="639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ywk92stzz8ph" w:id="11"/>
            <w:bookmarkEnd w:id="11"/>
            <w:r w:rsidDel="00000000" w:rsidR="00000000" w:rsidRPr="00000000">
              <w:rPr>
                <w:b w:val="1"/>
                <w:sz w:val="34"/>
                <w:szCs w:val="34"/>
                <w:shd w:fill="c6d9f1" w:val="clear"/>
                <w:rtl w:val="0"/>
              </w:rPr>
              <w:t xml:space="preserve">Data Outputs – Project Deliverables: Hydrogeologic Framework, Surfaces and Point 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deliverable will consist of the maps showing the areal distribution and select hydrogeologic parameters for units in the CLAS.  The parameters may include structure, lithology, faulting and thickness.  Point data will consist of data derived from geophysical logs for the depth and elevation of formation contacts and formation lithology and thickness.   Size and extent of data deliverables will depend on required revisions to the existing RASA framework data and the number of additional geophysical logs used to refine the framework.</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Management Resources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Project specific database; GIS spatial coverage, and geophysical log image and/or .las files.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processing is documented in the “Data Input” forms.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 Data releases will also undergo USGS review and approval as described in the FSP.  Picks from geophysical logs will be reviewed by other USGS hydrogeologists or geologists with state agencies.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Formal Metadata Standard Used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FGDC Content Standard for Digital Geospatial Metadata.</w:t>
            </w:r>
          </w:p>
          <w:p w:rsidR="00000000" w:rsidDel="00000000" w:rsidP="00000000" w:rsidRDefault="00000000" w:rsidRPr="00000000">
            <w:pPr>
              <w:spacing w:before="120" w:lineRule="auto"/>
              <w:contextualSpacing w:val="0"/>
            </w:pPr>
            <w:r w:rsidDel="00000000" w:rsidR="00000000" w:rsidRPr="00000000">
              <w:rPr>
                <w:highlight w:val="white"/>
                <w:rtl w:val="0"/>
              </w:rPr>
              <w:t xml:space="preserve">Log ASCII standard files – Canadian Well Logging Society</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20 MB (estimated)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Areal and point data will be stored on a USGS computer and periodically backed up to a network server.  Version control will be achieved through file nomenclature and project reviews.  Intermediate data sets will not be stored or backed up after project is completed.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Repository: ScienceBase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ScienceBase</w:t>
            </w:r>
            <w:hyperlink r:id="rId23">
              <w:r w:rsidDel="00000000" w:rsidR="00000000" w:rsidRPr="00000000">
                <w:rPr>
                  <w:highlight w:val="white"/>
                  <w:rtl w:val="0"/>
                </w:rPr>
                <w:t xml:space="preserve"> </w:t>
              </w:r>
            </w:hyperlink>
            <w:hyperlink r:id="rId24">
              <w:r w:rsidDel="00000000" w:rsidR="00000000" w:rsidRPr="00000000">
                <w:rPr>
                  <w:i w:val="1"/>
                  <w:color w:val="1155cc"/>
                  <w:highlight w:val="white"/>
                  <w:u w:val="single"/>
                  <w:rtl w:val="0"/>
                </w:rPr>
                <w:t xml:space="preserve">https://www.sciencebase.gov/catalog/</w:t>
              </w:r>
            </w:hyperlink>
          </w:p>
          <w:p w:rsidR="00000000" w:rsidDel="00000000" w:rsidP="00000000" w:rsidRDefault="00000000" w:rsidRPr="00000000">
            <w:pPr>
              <w:spacing w:before="120" w:lineRule="auto"/>
              <w:contextualSpacing w:val="0"/>
            </w:pPr>
            <w:r w:rsidDel="00000000" w:rsidR="00000000" w:rsidRPr="00000000">
              <w:rPr>
                <w:highlight w:val="white"/>
                <w:rtl w:val="0"/>
              </w:rPr>
              <w:t xml:space="preserve">USGS LogArchiver</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All data will reside on USGS network computers and will be secured by the network protocols. None of the data will be available to public until the data and report(s) are approved and a data archive is made available. Until that time, only project personnel involved in compilation of the data will have access to the project data files.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Well owner and other PII data will not be released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Digital Object Identifiers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1"/>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90"/>
        <w:gridCol w:w="6390"/>
        <w:tblGridChange w:id="0">
          <w:tblGrid>
            <w:gridCol w:w="2490"/>
            <w:gridCol w:w="639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8xl6681t7l1c" w:id="12"/>
            <w:bookmarkEnd w:id="12"/>
            <w:r w:rsidDel="00000000" w:rsidR="00000000" w:rsidRPr="00000000">
              <w:rPr>
                <w:b w:val="1"/>
                <w:sz w:val="34"/>
                <w:szCs w:val="34"/>
                <w:shd w:fill="c6d9f1" w:val="clear"/>
                <w:rtl w:val="0"/>
              </w:rPr>
              <w:t xml:space="preserve">Data Outputs – Project Deliverables: Conceptual Model and Model Archive 1: Model Input Datasets, Model Grid, Prior Uncertainty Distributions, and Parameter Ensemble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deliverable will consist of the conceptual model and the first model archive. This model archive will contain the model grid, model input datasets (including water use datasets), description of the prior uncertainty of model parameters, and the parameter ensemble. The MODFLOW6 model will be an unconstrained model paired with the parameter ensemble and the outputs will be based on the ensemble.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Management Resources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Project specific databases; GIS spatial coverages, text files, MODFLOW6 model archive which includes inputs and outputs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processing is documented in the “Data Input” forms.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 </w:t>
            </w:r>
            <w:r w:rsidDel="00000000" w:rsidR="00000000" w:rsidRPr="00000000">
              <w:rPr>
                <w:highlight w:val="white"/>
                <w:rtl w:val="0"/>
              </w:rPr>
              <w:t xml:space="preserve">Data releases will also undergo USGS review and approval as described in the FSP.  The model archive will be approved according to OGW model archive review policy.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Formal Metadata Standard Used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FGDC Content Standard for Digital Geospatial Metadata.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500 GB (estimated)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Areal and point data will be stored on a USGS computer and periodically backed up to a network server.  Version control will be achieved through file nomenclature and project reviews.  Intermediate data sets will not be stored or backed up after project is completed.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Repository: ScienceBase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USGS Model Archives housed on the </w:t>
            </w:r>
            <w:r w:rsidDel="00000000" w:rsidR="00000000" w:rsidRPr="00000000">
              <w:rPr>
                <w:highlight w:val="white"/>
                <w:rtl w:val="0"/>
              </w:rPr>
              <w:t xml:space="preserve">WRD NSDI Water Node </w:t>
            </w:r>
            <w:hyperlink r:id="rId25">
              <w:r w:rsidDel="00000000" w:rsidR="00000000" w:rsidRPr="00000000">
                <w:rPr>
                  <w:color w:val="1155cc"/>
                  <w:highlight w:val="white"/>
                  <w:u w:val="single"/>
                  <w:rtl w:val="0"/>
                </w:rPr>
                <w:t xml:space="preserve">http://water.usgs.gov/lookup/getgislist</w:t>
              </w:r>
            </w:hyperlink>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All data will reside on USGS network computers and will be secured by the network protocols. None of the data will be available to public until the data and report(s) are approved and a data archive is made available. Until that time, only project personnel involved in compilation of the data will have access to the project data files.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Well owner data, PII data, and proprietary data will not be released.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Digital Object Identifiers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Linzy Foster: </w:t>
            </w:r>
            <w:hyperlink r:id="rId26">
              <w:r w:rsidDel="00000000" w:rsidR="00000000" w:rsidRPr="00000000">
                <w:rPr>
                  <w:color w:val="1155cc"/>
                  <w:highlight w:val="white"/>
                  <w:u w:val="single"/>
                  <w:rtl w:val="0"/>
                </w:rPr>
                <w:t xml:space="preserve">lfoster@usgs.gov</w:t>
              </w:r>
            </w:hyperlink>
            <w:r w:rsidDel="00000000" w:rsidR="00000000" w:rsidRPr="00000000">
              <w:rPr>
                <w:highlight w:val="white"/>
                <w:rtl w:val="0"/>
              </w:rPr>
              <w:t xml:space="preserve">, Brian Clark: </w:t>
            </w:r>
            <w:hyperlink r:id="rId27">
              <w:r w:rsidDel="00000000" w:rsidR="00000000" w:rsidRPr="00000000">
                <w:rPr>
                  <w:color w:val="1155cc"/>
                  <w:highlight w:val="white"/>
                  <w:u w:val="single"/>
                  <w:rtl w:val="0"/>
                </w:rPr>
                <w:t xml:space="preserve">brclark@usgs.gov </w:t>
              </w:r>
            </w:hyperlink>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2"/>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90"/>
        <w:gridCol w:w="6390"/>
        <w:tblGridChange w:id="0">
          <w:tblGrid>
            <w:gridCol w:w="2490"/>
            <w:gridCol w:w="6390"/>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pStyle w:val="Heading2"/>
              <w:keepNext w:val="0"/>
              <w:keepLines w:val="0"/>
              <w:spacing w:after="80" w:lineRule="auto"/>
              <w:contextualSpacing w:val="0"/>
            </w:pPr>
            <w:bookmarkStart w:colFirst="0" w:colLast="0" w:name="h.nq8aosl33wgh" w:id="13"/>
            <w:bookmarkEnd w:id="13"/>
            <w:r w:rsidDel="00000000" w:rsidR="00000000" w:rsidRPr="00000000">
              <w:rPr>
                <w:b w:val="1"/>
                <w:sz w:val="34"/>
                <w:szCs w:val="34"/>
                <w:shd w:fill="c6d9f1" w:val="clear"/>
                <w:rtl w:val="0"/>
              </w:rPr>
              <w:t xml:space="preserve">Data Outputs – Project Deliverables: Model Archive 2: Conditioned Ensemble and Updated Model, Forecast Scenarios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deliverable will consist of the second model archive. This model archive will consist of the conditioned ensemble, model outputs for the predictive scenarios, as well as any documented changes to the model from model archive 1 or new datasets.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Management Resources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Product Formats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Project specific data-base; GIS spatial coverage,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Processing and Workflows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Data processing is documented in the “Data Input” forms.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Quality Assurance Plan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 Data releases will also undergo USGS review and approval as described in the FSP.  The model archive will be approved according to OGW model archive review policy.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Formal Metadata Standard Used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FGDC Content Standard for Digital Geospatial Metadata.</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Volume Storage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500 GB (estimated)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Backup and Version Control Strategy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Areal and point data will be stored on a USGS computer and periodically backed up to a network server.  Version control will be achieved through file nomenclature and project reviews.  Intermediate data sets will not be stored or backed up after project is completed.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Repository: ScienceBase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USGS Model Archives housed on the WRD NSDI Water Node </w:t>
            </w:r>
            <w:hyperlink r:id="rId28">
              <w:r w:rsidDel="00000000" w:rsidR="00000000" w:rsidRPr="00000000">
                <w:rPr>
                  <w:color w:val="1155cc"/>
                  <w:highlight w:val="white"/>
                  <w:u w:val="single"/>
                  <w:rtl w:val="0"/>
                </w:rPr>
                <w:t xml:space="preserve">http://water.usgs.gov/lookup/getgislist</w:t>
              </w:r>
            </w:hyperlink>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Data Security and Access Control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All data will reside on USGS network computers and will be secured by the network protocols. None of the data will be available to public until the data and report(s) are approved and a data archive is made available. Until that time, only project personnel involved in compilation of the data will have access to the project data files.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Well owner data, PII data, and proprietary data will not be released.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Digital Object Identifiers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Citation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To be determined.</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Contact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Linzy Foster: </w:t>
            </w:r>
            <w:hyperlink r:id="rId29">
              <w:r w:rsidDel="00000000" w:rsidR="00000000" w:rsidRPr="00000000">
                <w:rPr>
                  <w:color w:val="1155cc"/>
                  <w:highlight w:val="white"/>
                  <w:u w:val="single"/>
                  <w:rtl w:val="0"/>
                </w:rPr>
                <w:t xml:space="preserve">lfoster@usgs.gov</w:t>
              </w:r>
            </w:hyperlink>
            <w:r w:rsidDel="00000000" w:rsidR="00000000" w:rsidRPr="00000000">
              <w:rPr>
                <w:highlight w:val="white"/>
                <w:rtl w:val="0"/>
              </w:rPr>
              <w:t xml:space="preserve">, Brian Clark, </w:t>
            </w:r>
            <w:hyperlink r:id="rId30">
              <w:r w:rsidDel="00000000" w:rsidR="00000000" w:rsidRPr="00000000">
                <w:rPr>
                  <w:color w:val="1155cc"/>
                  <w:highlight w:val="white"/>
                  <w:u w:val="single"/>
                  <w:rtl w:val="0"/>
                </w:rPr>
                <w:t xml:space="preserve">brclark@usgs.gov</w:t>
              </w:r>
            </w:hyperlink>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3"/>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65"/>
        <w:gridCol w:w="6315"/>
        <w:tblGridChange w:id="0">
          <w:tblGrid>
            <w:gridCol w:w="2565"/>
            <w:gridCol w:w="6315"/>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6"/>
                <w:szCs w:val="26"/>
                <w:shd w:fill="c6d9f1" w:val="clear"/>
                <w:rtl w:val="0"/>
              </w:rPr>
              <w:t xml:space="preserve">Software and Other Needs [Coastal Lowlands Aquifer System Groundwater Availability Assessment]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MODFLOW 6</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shd w:fill="dbe5f1" w:val="clear"/>
                <w:rtl w:val="0"/>
              </w:rPr>
              <w:t xml:space="preserve">Source/Link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http://water.usgs.gov/usgs/ogw/modflow/</w:t>
            </w:r>
          </w:p>
        </w:tc>
      </w:tr>
    </w:tbl>
    <w:p w:rsidR="00000000" w:rsidDel="00000000" w:rsidP="00000000" w:rsidRDefault="00000000" w:rsidRPr="00000000">
      <w:pPr>
        <w:contextualSpacing w:val="0"/>
      </w:pPr>
      <w:r w:rsidDel="00000000" w:rsidR="00000000" w:rsidRPr="00000000">
        <w:rPr>
          <w:rtl w:val="0"/>
        </w:rPr>
      </w:r>
    </w:p>
    <w:tbl>
      <w:tblPr>
        <w:tblStyle w:val="Table14"/>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65"/>
        <w:gridCol w:w="6315"/>
        <w:tblGridChange w:id="0">
          <w:tblGrid>
            <w:gridCol w:w="2565"/>
            <w:gridCol w:w="6315"/>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6"/>
                <w:szCs w:val="26"/>
                <w:shd w:fill="c6d9f1" w:val="clear"/>
                <w:rtl w:val="0"/>
              </w:rPr>
              <w:t xml:space="preserve">Software and Other Needs [Coastal Lowlands Aquifer System Groundwater Availability Assessment]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PEST++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w:t>
            </w:r>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w:t>
            </w:r>
            <w:r w:rsidDel="00000000" w:rsidR="00000000" w:rsidRPr="00000000">
              <w:rPr>
                <w:rtl w:val="0"/>
              </w:rPr>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Source/Link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http://wi.water.usgs.gov/models/pestplusplus/</w:t>
            </w:r>
          </w:p>
        </w:tc>
      </w:tr>
    </w:tbl>
    <w:p w:rsidR="00000000" w:rsidDel="00000000" w:rsidP="00000000" w:rsidRDefault="00000000" w:rsidRPr="00000000">
      <w:pPr>
        <w:contextualSpacing w:val="0"/>
      </w:pPr>
      <w:r w:rsidDel="00000000" w:rsidR="00000000" w:rsidRPr="00000000">
        <w:rPr>
          <w:rtl w:val="0"/>
        </w:rPr>
      </w:r>
    </w:p>
    <w:tbl>
      <w:tblPr>
        <w:tblStyle w:val="Table15"/>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65"/>
        <w:gridCol w:w="6315"/>
        <w:tblGridChange w:id="0">
          <w:tblGrid>
            <w:gridCol w:w="2565"/>
            <w:gridCol w:w="6315"/>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6"/>
                <w:szCs w:val="26"/>
                <w:shd w:fill="c6d9f1" w:val="clear"/>
                <w:rtl w:val="0"/>
              </w:rPr>
              <w:t xml:space="preserve">Software and Other Needs [Coastal Lowlands Aquifer System Groundwater Availability Assessment]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pyEmu</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Source/Link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https://github.com/jtwhite79/pyemu</w:t>
            </w:r>
          </w:p>
        </w:tc>
      </w:tr>
    </w:tbl>
    <w:p w:rsidR="00000000" w:rsidDel="00000000" w:rsidP="00000000" w:rsidRDefault="00000000" w:rsidRPr="00000000">
      <w:pPr>
        <w:contextualSpacing w:val="0"/>
      </w:pPr>
      <w:r w:rsidDel="00000000" w:rsidR="00000000" w:rsidRPr="00000000">
        <w:rPr>
          <w:rtl w:val="0"/>
        </w:rPr>
      </w:r>
    </w:p>
    <w:tbl>
      <w:tblPr>
        <w:tblStyle w:val="Table16"/>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565"/>
        <w:gridCol w:w="6315"/>
        <w:tblGridChange w:id="0">
          <w:tblGrid>
            <w:gridCol w:w="2565"/>
            <w:gridCol w:w="6315"/>
          </w:tblGrid>
        </w:tblGridChange>
      </w:tblGrid>
      <w:tr>
        <w:tc>
          <w:tcPr>
            <w:gridSpan w:val="2"/>
            <w:tcBorders>
              <w:top w:color="000000" w:space="0" w:sz="8" w:val="single"/>
              <w:left w:color="000000" w:space="0" w:sz="8" w:val="single"/>
              <w:bottom w:color="000000" w:space="0" w:sz="8" w:val="single"/>
              <w:right w:color="000000" w:space="0" w:sz="8" w:val="single"/>
            </w:tcBorders>
            <w:shd w:fill="c6d9f1"/>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6"/>
                <w:szCs w:val="26"/>
                <w:shd w:fill="c6d9f1" w:val="clear"/>
                <w:rtl w:val="0"/>
              </w:rPr>
              <w:t xml:space="preserve">Software and Other Needs [Coastal Lowlands Aquifer System Groundwater Availability Assessment]</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Description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Esri ArcGIS</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Restrictions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 </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Fees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highlight w:val="white"/>
                <w:rtl w:val="0"/>
              </w:rPr>
              <w:t xml:space="preserve">None - Enterprise License</w:t>
            </w:r>
          </w:p>
        </w:tc>
      </w:tr>
      <w:tr>
        <w:tc>
          <w:tcPr>
            <w:tcBorders>
              <w:left w:color="000000" w:space="0" w:sz="8" w:val="single"/>
              <w:bottom w:color="000000" w:space="0" w:sz="8" w:val="single"/>
              <w:right w:color="000000" w:space="0" w:sz="8" w:val="single"/>
            </w:tcBorders>
            <w:shd w:fill="dbe5f1"/>
            <w:tcMar>
              <w:top w:w="100.0" w:type="dxa"/>
              <w:left w:w="100.0" w:type="dxa"/>
              <w:bottom w:w="100.0" w:type="dxa"/>
              <w:right w:w="100.0" w:type="dxa"/>
            </w:tcMar>
          </w:tcPr>
          <w:p w:rsidR="00000000" w:rsidDel="00000000" w:rsidP="00000000" w:rsidRDefault="00000000" w:rsidRPr="00000000">
            <w:pPr>
              <w:spacing w:before="120" w:lineRule="auto"/>
              <w:contextualSpacing w:val="0"/>
            </w:pPr>
            <w:r w:rsidDel="00000000" w:rsidR="00000000" w:rsidRPr="00000000">
              <w:rPr>
                <w:rFonts w:ascii="Times New Roman" w:cs="Times New Roman" w:eastAsia="Times New Roman" w:hAnsi="Times New Roman"/>
                <w:sz w:val="20"/>
                <w:szCs w:val="20"/>
                <w:shd w:fill="dbe5f1" w:val="clear"/>
                <w:rtl w:val="0"/>
              </w:rPr>
              <w:t xml:space="preserve">Source/Link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highlight w:val="white"/>
                <w:rtl w:val="0"/>
              </w:rPr>
              <w:t xml:space="preserve">http://gio.usgs.gov/egis/</w:t>
            </w:r>
          </w:p>
        </w:tc>
      </w:tr>
    </w:tbl>
    <w:p w:rsidR="00000000" w:rsidDel="00000000" w:rsidP="00000000" w:rsidRDefault="00000000" w:rsidRPr="00000000">
      <w:pPr>
        <w:contextualSpacing w:val="0"/>
      </w:pPr>
      <w:r w:rsidDel="00000000" w:rsidR="00000000" w:rsidRPr="00000000">
        <w:drawing>
          <wp:inline distB="114300" distT="114300" distL="114300" distR="114300">
            <wp:extent cx="6719888" cy="8973446"/>
            <wp:effectExtent b="0" l="0" r="0" t="0"/>
            <wp:docPr id="1" name="image01.png"/>
            <a:graphic>
              <a:graphicData uri="http://schemas.openxmlformats.org/drawingml/2006/picture">
                <pic:pic>
                  <pic:nvPicPr>
                    <pic:cNvPr id="0" name="image01.png"/>
                    <pic:cNvPicPr preferRelativeResize="0"/>
                  </pic:nvPicPr>
                  <pic:blipFill>
                    <a:blip r:embed="rId31"/>
                    <a:srcRect b="0" l="0" r="3365" t="0"/>
                    <a:stretch>
                      <a:fillRect/>
                    </a:stretch>
                  </pic:blipFill>
                  <pic:spPr>
                    <a:xfrm>
                      <a:off x="0" y="0"/>
                      <a:ext cx="6719888" cy="8973446"/>
                    </a:xfrm>
                    <a:prstGeom prst="rect"/>
                    <a:ln/>
                  </pic:spPr>
                </pic:pic>
              </a:graphicData>
            </a:graphic>
          </wp:inline>
        </w:drawing>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lgs.lsu.edu/deploy/content/PUBLI/contentpage16.php" TargetMode="External"/><Relationship Id="rId22" Type="http://schemas.openxmlformats.org/officeDocument/2006/relationships/hyperlink" Target="http://www.gsa.state.al.us/gsa/geologic.html" TargetMode="External"/><Relationship Id="rId21" Type="http://schemas.openxmlformats.org/officeDocument/2006/relationships/hyperlink" Target="http://geodata.dep.state.fl.us/datasets/3367c786938a4d5084c120c3772c7434_2" TargetMode="External"/><Relationship Id="rId24" Type="http://schemas.openxmlformats.org/officeDocument/2006/relationships/hyperlink" Target="https://www.sciencebase.gov/catalog/" TargetMode="External"/><Relationship Id="rId23" Type="http://schemas.openxmlformats.org/officeDocument/2006/relationships/hyperlink" Target="https://www.sciencebase.gov/catalog/"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pubs.er.usgs.gov/publication/pp1416H" TargetMode="External"/><Relationship Id="rId26" Type="http://schemas.openxmlformats.org/officeDocument/2006/relationships/hyperlink" Target="mailto:lfoster@usgs.gov" TargetMode="External"/><Relationship Id="rId25" Type="http://schemas.openxmlformats.org/officeDocument/2006/relationships/hyperlink" Target="http://water.usgs.gov/lookup/getgislist" TargetMode="External"/><Relationship Id="rId28" Type="http://schemas.openxmlformats.org/officeDocument/2006/relationships/hyperlink" Target="http://water.usgs.gov/lookup/getgislist" TargetMode="External"/><Relationship Id="rId27" Type="http://schemas.openxmlformats.org/officeDocument/2006/relationships/hyperlink" Target="mailto:brclark@usgs.gov" TargetMode="External"/><Relationship Id="rId5" Type="http://schemas.openxmlformats.org/officeDocument/2006/relationships/hyperlink" Target="https://pubs.er.usgs.gov/publication/pp1416H" TargetMode="External"/><Relationship Id="rId6" Type="http://schemas.openxmlformats.org/officeDocument/2006/relationships/hyperlink" Target="https://pubs.er.usgs.gov/publication/pp1416H" TargetMode="External"/><Relationship Id="rId29" Type="http://schemas.openxmlformats.org/officeDocument/2006/relationships/hyperlink" Target="mailto:lfoster@usgs.gov" TargetMode="External"/><Relationship Id="rId7" Type="http://schemas.openxmlformats.org/officeDocument/2006/relationships/hyperlink" Target="https://pubs.er.usgs.gov/publication/pp1416E" TargetMode="External"/><Relationship Id="rId8" Type="http://schemas.openxmlformats.org/officeDocument/2006/relationships/hyperlink" Target="https://pubs.er.usgs.gov/publication/pp1416E" TargetMode="External"/><Relationship Id="rId31" Type="http://schemas.openxmlformats.org/officeDocument/2006/relationships/image" Target="media/image01.png"/><Relationship Id="rId30" Type="http://schemas.openxmlformats.org/officeDocument/2006/relationships/hyperlink" Target="mailto:brclark@usgs.gov" TargetMode="External"/><Relationship Id="rId11" Type="http://schemas.openxmlformats.org/officeDocument/2006/relationships/hyperlink" Target="https://pubs.er.usgs.gov/publication/pp1416E" TargetMode="External"/><Relationship Id="rId10" Type="http://schemas.openxmlformats.org/officeDocument/2006/relationships/hyperlink" Target="https://pubs.er.usgs.gov/publication/pp1416H" TargetMode="External"/><Relationship Id="rId13" Type="http://schemas.openxmlformats.org/officeDocument/2006/relationships/hyperlink" Target="https://pubs.er.usgs.gov/publication/pp1416E" TargetMode="External"/><Relationship Id="rId12" Type="http://schemas.openxmlformats.org/officeDocument/2006/relationships/hyperlink" Target="https://pubs.er.usgs.gov/publication/pp1416E" TargetMode="External"/><Relationship Id="rId15" Type="http://schemas.openxmlformats.org/officeDocument/2006/relationships/hyperlink" Target="http://www.lgs.lsu.edu/deploy/content/PUBLI/contentpage16.php" TargetMode="External"/><Relationship Id="rId14" Type="http://schemas.openxmlformats.org/officeDocument/2006/relationships/hyperlink" Target="https://pubs.er.usgs.gov/publication/pp1416E" TargetMode="External"/><Relationship Id="rId17" Type="http://schemas.openxmlformats.org/officeDocument/2006/relationships/hyperlink" Target="http://igor.beg.utexas.edu/crc2/" TargetMode="External"/><Relationship Id="rId16" Type="http://schemas.openxmlformats.org/officeDocument/2006/relationships/hyperlink" Target="http://www.lgs.lsu.edu/deploy/content/PUBLI/contentpage16.php" TargetMode="External"/><Relationship Id="rId19" Type="http://schemas.openxmlformats.org/officeDocument/2006/relationships/hyperlink" Target="http://igor.beg.utexas.edu/crc2/" TargetMode="External"/><Relationship Id="rId18" Type="http://schemas.openxmlformats.org/officeDocument/2006/relationships/hyperlink" Target="http://igor.beg.utexas.edu/crc2/" TargetMode="External"/></Relationships>
</file>