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B05" w:rsidRDefault="00305CF2" w:rsidP="00655B21">
      <w:pPr>
        <w:jc w:val="center"/>
        <w:rPr>
          <w:rFonts w:ascii="Arial" w:hAnsi="Arial" w:cs="Arial"/>
          <w:b/>
          <w:sz w:val="28"/>
          <w:szCs w:val="28"/>
        </w:rPr>
      </w:pPr>
      <w:r>
        <w:rPr>
          <w:rFonts w:ascii="Arial" w:hAnsi="Arial" w:cs="Arial"/>
          <w:b/>
          <w:sz w:val="28"/>
          <w:szCs w:val="28"/>
        </w:rPr>
        <w:t>Water Availability and Use Science Program</w:t>
      </w:r>
    </w:p>
    <w:p w:rsidR="00305CF2" w:rsidRPr="00EF4838" w:rsidRDefault="00CB4E32" w:rsidP="00655B21">
      <w:pPr>
        <w:jc w:val="center"/>
        <w:rPr>
          <w:rFonts w:ascii="Arial" w:hAnsi="Arial" w:cs="Arial"/>
          <w:b/>
          <w:sz w:val="28"/>
          <w:szCs w:val="28"/>
        </w:rPr>
      </w:pPr>
      <w:r>
        <w:rPr>
          <w:rFonts w:ascii="Arial" w:hAnsi="Arial" w:cs="Arial"/>
          <w:b/>
          <w:sz w:val="28"/>
          <w:szCs w:val="28"/>
        </w:rPr>
        <w:t>2015</w:t>
      </w:r>
      <w:r w:rsidR="00C14C4D">
        <w:rPr>
          <w:rFonts w:ascii="Arial" w:hAnsi="Arial" w:cs="Arial"/>
          <w:b/>
          <w:sz w:val="28"/>
          <w:szCs w:val="28"/>
        </w:rPr>
        <w:t xml:space="preserve"> Water Use</w:t>
      </w:r>
      <w:r>
        <w:rPr>
          <w:rFonts w:ascii="Arial" w:hAnsi="Arial" w:cs="Arial"/>
          <w:b/>
          <w:sz w:val="28"/>
          <w:szCs w:val="28"/>
        </w:rPr>
        <w:t xml:space="preserve"> Compilation</w:t>
      </w:r>
      <w:r w:rsidR="00305CF2">
        <w:rPr>
          <w:rFonts w:ascii="Arial" w:hAnsi="Arial" w:cs="Arial"/>
          <w:b/>
          <w:sz w:val="28"/>
          <w:szCs w:val="28"/>
        </w:rPr>
        <w:t xml:space="preserve"> </w:t>
      </w:r>
    </w:p>
    <w:p w:rsidR="00593B05" w:rsidRPr="00EF4838" w:rsidRDefault="0067074A" w:rsidP="00593B05">
      <w:pPr>
        <w:jc w:val="center"/>
        <w:rPr>
          <w:rFonts w:ascii="Arial" w:hAnsi="Arial" w:cs="Arial"/>
          <w:b/>
          <w:sz w:val="28"/>
          <w:szCs w:val="28"/>
        </w:rPr>
      </w:pPr>
      <w:r>
        <w:rPr>
          <w:rFonts w:ascii="Arial" w:hAnsi="Arial" w:cs="Arial"/>
          <w:b/>
          <w:sz w:val="28"/>
          <w:szCs w:val="28"/>
        </w:rPr>
        <w:t>FY 201</w:t>
      </w:r>
      <w:r w:rsidR="00305CF2">
        <w:rPr>
          <w:rFonts w:ascii="Arial" w:hAnsi="Arial" w:cs="Arial"/>
          <w:b/>
          <w:sz w:val="28"/>
          <w:szCs w:val="28"/>
        </w:rPr>
        <w:t>6</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w:t>
      </w:r>
    </w:p>
    <w:p w:rsidR="00593B05" w:rsidRPr="00F4780A" w:rsidRDefault="00CB4E32" w:rsidP="00593B05">
      <w:pPr>
        <w:jc w:val="center"/>
        <w:rPr>
          <w:rFonts w:ascii="Arial" w:hAnsi="Arial" w:cs="Arial"/>
          <w:b/>
          <w:sz w:val="28"/>
          <w:szCs w:val="28"/>
        </w:rPr>
      </w:pPr>
      <w:r>
        <w:rPr>
          <w:rFonts w:ascii="Arial" w:hAnsi="Arial" w:cs="Arial"/>
          <w:b/>
          <w:sz w:val="28"/>
          <w:szCs w:val="28"/>
        </w:rPr>
        <w:t>October 6</w:t>
      </w:r>
      <w:r w:rsidR="00305CF2" w:rsidRPr="00F4780A">
        <w:rPr>
          <w:rFonts w:ascii="Arial" w:hAnsi="Arial" w:cs="Arial"/>
          <w:b/>
          <w:sz w:val="28"/>
          <w:szCs w:val="28"/>
        </w:rPr>
        <w:t>, 2016</w:t>
      </w:r>
    </w:p>
    <w:p w:rsidR="00630893" w:rsidRDefault="00630893" w:rsidP="005561F9">
      <w:pPr>
        <w:pStyle w:val="NormalWeb"/>
      </w:pPr>
    </w:p>
    <w:p w:rsidR="00630893" w:rsidRDefault="00D54F3C" w:rsidP="00E63153">
      <w:pPr>
        <w:pStyle w:val="NormalWeb"/>
        <w:numPr>
          <w:ilvl w:val="0"/>
          <w:numId w:val="21"/>
        </w:numPr>
        <w:spacing w:after="0" w:afterAutospacing="0"/>
        <w:rPr>
          <w:rStyle w:val="Strong"/>
        </w:rPr>
      </w:pPr>
      <w:r>
        <w:rPr>
          <w:rStyle w:val="Strong"/>
        </w:rPr>
        <w:t>PROJECT ACCOMPLISHMENTS</w:t>
      </w:r>
      <w:r w:rsidR="001E1A1C">
        <w:rPr>
          <w:rStyle w:val="Strong"/>
        </w:rPr>
        <w:t>/CONTRIBUTIONS</w:t>
      </w:r>
      <w:r w:rsidR="0067074A">
        <w:rPr>
          <w:rStyle w:val="Strong"/>
        </w:rPr>
        <w:t xml:space="preserve"> (FY 201</w:t>
      </w:r>
      <w:r w:rsidR="007B17A1">
        <w:rPr>
          <w:rStyle w:val="Strong"/>
        </w:rPr>
        <w:t>6</w:t>
      </w:r>
      <w:r w:rsidR="00762724">
        <w:rPr>
          <w:rStyle w:val="Strong"/>
        </w:rPr>
        <w:t>)</w:t>
      </w:r>
    </w:p>
    <w:p w:rsidR="00E63153" w:rsidRDefault="00E63153" w:rsidP="00E63153">
      <w:pPr>
        <w:pStyle w:val="NormalWeb"/>
        <w:spacing w:after="0" w:afterAutospacing="0"/>
        <w:ind w:left="720"/>
        <w:rPr>
          <w:rStyle w:val="Strong"/>
        </w:rPr>
      </w:pPr>
    </w:p>
    <w:p w:rsidR="00C2618C" w:rsidRPr="00630893" w:rsidRDefault="00264E59" w:rsidP="00630893">
      <w:pPr>
        <w:pStyle w:val="NormalWeb"/>
        <w:spacing w:before="0" w:beforeAutospacing="0" w:after="0" w:afterAutospacing="0"/>
        <w:rPr>
          <w:b/>
          <w:bCs/>
        </w:rPr>
      </w:pPr>
      <w:r>
        <w:t xml:space="preserve">The 2015 </w:t>
      </w:r>
      <w:r w:rsidR="00AE042C">
        <w:t xml:space="preserve">national </w:t>
      </w:r>
      <w:r>
        <w:t xml:space="preserve">water-use compilation effort was official started in FY2016, </w:t>
      </w:r>
      <w:r w:rsidR="00AE042C">
        <w:t xml:space="preserve">beginning </w:t>
      </w:r>
      <w:r>
        <w:t>with a national workshop that was held in Denver, Colorado, in November 2015. This workshop brought together water-use specialist from each WSC</w:t>
      </w:r>
      <w:r w:rsidR="00AE042C">
        <w:t xml:space="preserve">, </w:t>
      </w:r>
      <w:r>
        <w:t xml:space="preserve">national and regional leadership team members, </w:t>
      </w:r>
      <w:r w:rsidR="00AE042C">
        <w:t>and Water Availability and Use Science Program staff</w:t>
      </w:r>
      <w:r w:rsidR="006829C3">
        <w:t>,</w:t>
      </w:r>
      <w:r w:rsidR="00AE042C">
        <w:t xml:space="preserve"> </w:t>
      </w:r>
      <w:r>
        <w:t xml:space="preserve">to provide guidance, training, and program objectives and goals </w:t>
      </w:r>
      <w:r w:rsidR="00AE042C">
        <w:t>for the national 2015</w:t>
      </w:r>
      <w:r>
        <w:t xml:space="preserve"> water</w:t>
      </w:r>
      <w:r w:rsidR="00AE042C">
        <w:t>-</w:t>
      </w:r>
      <w:r>
        <w:t xml:space="preserve">use </w:t>
      </w:r>
      <w:r w:rsidR="00AE042C">
        <w:t>report</w:t>
      </w:r>
      <w:r>
        <w:t xml:space="preserve">.  </w:t>
      </w:r>
      <w:r w:rsidR="00AE042C">
        <w:t>National p</w:t>
      </w:r>
      <w:r>
        <w:t xml:space="preserve">rogram </w:t>
      </w:r>
      <w:r w:rsidR="00AE042C">
        <w:t>efforts to provide</w:t>
      </w:r>
      <w:r>
        <w:t xml:space="preserve"> datasets for livestock, mining and aquaculture </w:t>
      </w:r>
      <w:r w:rsidR="00AE042C">
        <w:t>county-level water use</w:t>
      </w:r>
      <w:r>
        <w:t xml:space="preserve"> were also begun in FY2016, and are well underway with data delivery </w:t>
      </w:r>
      <w:r w:rsidR="00AE042C">
        <w:t>planned for</w:t>
      </w:r>
      <w:r>
        <w:t xml:space="preserve"> December 2016 (FY2017). The 2015 water-use compilation will, for the first time since 1995, report county estimates of consumptive use for irrigation and thermoelectric</w:t>
      </w:r>
      <w:r w:rsidR="00AE042C">
        <w:t xml:space="preserve"> power</w:t>
      </w:r>
      <w:r>
        <w:t xml:space="preserve">. Activities to provide </w:t>
      </w:r>
      <w:r w:rsidR="00AE042C">
        <w:t>county</w:t>
      </w:r>
      <w:r>
        <w:t xml:space="preserve"> data for irrigation consumptive use, using satellite data and </w:t>
      </w:r>
      <w:r w:rsidR="00415BA3">
        <w:t xml:space="preserve">thermal </w:t>
      </w:r>
      <w:r>
        <w:t>models, are also in progress with data de</w:t>
      </w:r>
      <w:r w:rsidR="00A91EEA">
        <w:t>livery in December, 2016 (</w:t>
      </w:r>
      <w:r>
        <w:t>FY201</w:t>
      </w:r>
      <w:r w:rsidR="00A91EEA">
        <w:t>7</w:t>
      </w:r>
      <w:r w:rsidR="00014684">
        <w:t>)</w:t>
      </w:r>
      <w:r>
        <w:t xml:space="preserve">.  Models developed for thermoelectric withdrawals and consumptive </w:t>
      </w:r>
      <w:r w:rsidR="00415BA3">
        <w:t>uses are</w:t>
      </w:r>
      <w:r>
        <w:t xml:space="preserve"> </w:t>
      </w:r>
      <w:r w:rsidR="00A91EEA">
        <w:t xml:space="preserve">again being used to produce national datasets. These data are on a longer schedule and won’t be available until mid to late 2017, but work to convert SAS programs to R, and collaboration with EIA were </w:t>
      </w:r>
      <w:r w:rsidR="00E63153">
        <w:t>mostly completed</w:t>
      </w:r>
      <w:r w:rsidR="00A91EEA">
        <w:t xml:space="preserve"> </w:t>
      </w:r>
      <w:r w:rsidR="00E63153">
        <w:t>in</w:t>
      </w:r>
      <w:r w:rsidR="00A91EEA">
        <w:t xml:space="preserve"> FY2016.  A comparison report, journal article, using EIA data, USGS model results, and USGS 2010 compilation results at the plant level is </w:t>
      </w:r>
      <w:r w:rsidR="00E63153">
        <w:t>in</w:t>
      </w:r>
      <w:r w:rsidR="00A91EEA">
        <w:t xml:space="preserve"> review </w:t>
      </w:r>
      <w:r w:rsidR="00E63153">
        <w:t>at the end of</w:t>
      </w:r>
      <w:r w:rsidR="00A91EEA">
        <w:t xml:space="preserve"> FY2016. </w:t>
      </w:r>
      <w:r w:rsidR="00415BA3">
        <w:t xml:space="preserve">New software developments in the </w:t>
      </w:r>
      <w:r w:rsidR="00AE042C">
        <w:t xml:space="preserve">aggregated water use database system (AWUDS), which is </w:t>
      </w:r>
      <w:r w:rsidR="00415BA3">
        <w:t>used for national compilations</w:t>
      </w:r>
      <w:r w:rsidR="00AE042C">
        <w:t>,</w:t>
      </w:r>
      <w:r w:rsidR="00A91EEA">
        <w:t xml:space="preserve"> now </w:t>
      </w:r>
      <w:r w:rsidR="00415BA3">
        <w:t>include</w:t>
      </w:r>
      <w:r w:rsidR="00A91EEA">
        <w:t>s</w:t>
      </w:r>
      <w:r w:rsidR="00415BA3">
        <w:t xml:space="preserve"> the capability to store aquifer withdrawals at the county level; an enhancement above the previous state-level reporting capabilities. </w:t>
      </w:r>
      <w:r w:rsidR="00E63153">
        <w:t xml:space="preserve">A first-draft look-up table of principal aquifers by county was provided to each WSC for review and as each table is approved the functionality to attribute county groundwater water use to principal aquifers will be enabled.  </w:t>
      </w:r>
    </w:p>
    <w:p w:rsidR="00415BA3" w:rsidRDefault="00415BA3" w:rsidP="00F376A7">
      <w:pPr>
        <w:pStyle w:val="NormalWeb"/>
        <w:spacing w:after="0" w:afterAutospacing="0"/>
      </w:pPr>
      <w:r>
        <w:t xml:space="preserve">The USGS National Water Use </w:t>
      </w:r>
      <w:r w:rsidR="00E63153">
        <w:t>Science</w:t>
      </w:r>
      <w:r w:rsidR="00A91EEA">
        <w:t xml:space="preserve"> </w:t>
      </w:r>
      <w:r>
        <w:t xml:space="preserve">program </w:t>
      </w:r>
      <w:r w:rsidR="00A91EEA">
        <w:t xml:space="preserve">(part of the Water Availability and Use Science Program; WAUSP) </w:t>
      </w:r>
      <w:r>
        <w:t>provides the only nationally consistent information on the status and trends of human water u</w:t>
      </w:r>
      <w:r w:rsidR="00A91EEA">
        <w:t xml:space="preserve">se activities.  Since 1950, this program </w:t>
      </w:r>
      <w:r>
        <w:t xml:space="preserve">has published national reports in five-year increments; the only Federal agency </w:t>
      </w:r>
      <w:r w:rsidR="00AE042C">
        <w:t xml:space="preserve">to report </w:t>
      </w:r>
      <w:r w:rsidR="00A91EEA">
        <w:t>national</w:t>
      </w:r>
      <w:r w:rsidR="00AE042C">
        <w:t xml:space="preserve"> data </w:t>
      </w:r>
      <w:r w:rsidR="00A91EEA">
        <w:t>for so long.  See the website for a full listing of program publications beyond the 5-year reports (</w:t>
      </w:r>
      <w:hyperlink r:id="rId9" w:history="1">
        <w:r w:rsidRPr="00415BA3">
          <w:rPr>
            <w:rStyle w:val="Hyperlink"/>
          </w:rPr>
          <w:t>http://water.usgs.gov/watuse/50years.html</w:t>
        </w:r>
      </w:hyperlink>
      <w:r>
        <w:t>)</w:t>
      </w:r>
      <w:r w:rsidR="00AE042C">
        <w:t xml:space="preserve">. </w:t>
      </w:r>
      <w:r>
        <w:t xml:space="preserve">These data are integrated into our understanding of the natural systems, and provide water resource managers and other science investigations the information </w:t>
      </w:r>
      <w:r w:rsidR="00AE042C">
        <w:t>that is</w:t>
      </w:r>
      <w:r>
        <w:t xml:space="preserve"> need</w:t>
      </w:r>
      <w:r w:rsidR="00AE042C">
        <w:t>ed</w:t>
      </w:r>
      <w:r>
        <w:t xml:space="preserve"> to make informed </w:t>
      </w:r>
      <w:r>
        <w:lastRenderedPageBreak/>
        <w:t>management decisions</w:t>
      </w:r>
      <w:r w:rsidR="00AE042C">
        <w:t>,</w:t>
      </w:r>
      <w:r>
        <w:t xml:space="preserve"> and explain hydrologic processes and the impacts man has on them. </w:t>
      </w:r>
    </w:p>
    <w:p w:rsidR="00415BA3" w:rsidRDefault="00415BA3" w:rsidP="00F376A7">
      <w:pPr>
        <w:pStyle w:val="NormalWeb"/>
        <w:spacing w:after="0" w:afterAutospacing="0"/>
      </w:pPr>
    </w:p>
    <w:p w:rsidR="00507801" w:rsidRDefault="0020622B" w:rsidP="00630893">
      <w:pPr>
        <w:pStyle w:val="NormalWeb"/>
        <w:spacing w:after="0" w:afterAutospacing="0"/>
        <w:rPr>
          <w:rStyle w:val="Strong"/>
        </w:rPr>
      </w:pPr>
      <w:r>
        <w:rPr>
          <w:rStyle w:val="Strong"/>
        </w:rPr>
        <w:t xml:space="preserve"> </w:t>
      </w:r>
      <w:r w:rsidR="00D54F3C">
        <w:rPr>
          <w:rStyle w:val="Strong"/>
        </w:rPr>
        <w:t xml:space="preserve">(2) PROJECT WORKPLAN </w:t>
      </w:r>
      <w:r w:rsidR="00507801">
        <w:rPr>
          <w:rStyle w:val="Strong"/>
        </w:rPr>
        <w:t xml:space="preserve">AND BUDGET </w:t>
      </w:r>
      <w:r w:rsidR="00D54F3C">
        <w:rPr>
          <w:rStyle w:val="Strong"/>
        </w:rPr>
        <w:t xml:space="preserve">FOR </w:t>
      </w:r>
      <w:r w:rsidR="009078B8">
        <w:rPr>
          <w:rStyle w:val="Strong"/>
        </w:rPr>
        <w:t>FY</w:t>
      </w:r>
      <w:r w:rsidR="00762724">
        <w:rPr>
          <w:rStyle w:val="Strong"/>
        </w:rPr>
        <w:t xml:space="preserve"> </w:t>
      </w:r>
      <w:r w:rsidR="00E57C12">
        <w:rPr>
          <w:rStyle w:val="Strong"/>
        </w:rPr>
        <w:t>201</w:t>
      </w:r>
      <w:r w:rsidR="007B17A1">
        <w:rPr>
          <w:rStyle w:val="Strong"/>
        </w:rPr>
        <w:t>7</w:t>
      </w:r>
    </w:p>
    <w:p w:rsidR="00750BC5" w:rsidRDefault="00750BC5" w:rsidP="00630893">
      <w:pPr>
        <w:pStyle w:val="NormalWeb"/>
        <w:spacing w:before="0" w:beforeAutospacing="0"/>
      </w:pPr>
    </w:p>
    <w:p w:rsidR="001E5985" w:rsidRDefault="0020622B" w:rsidP="00630893">
      <w:pPr>
        <w:pStyle w:val="NormalWeb"/>
        <w:spacing w:before="0" w:beforeAutospacing="0"/>
      </w:pPr>
      <w:r>
        <w:t xml:space="preserve">The compilation itself is largely funded by each WSC’s support </w:t>
      </w:r>
      <w:r w:rsidR="00A91EEA">
        <w:t xml:space="preserve">of </w:t>
      </w:r>
      <w:r>
        <w:t>a specialist to compile data</w:t>
      </w:r>
      <w:r w:rsidR="00750BC5">
        <w:t xml:space="preserve"> for their State (including DC and Territories)</w:t>
      </w:r>
      <w:r>
        <w:t xml:space="preserve">. </w:t>
      </w:r>
      <w:r w:rsidR="00AE042C">
        <w:t xml:space="preserve">It is not possible without great effort to compute the </w:t>
      </w:r>
      <w:r w:rsidR="00AE042C" w:rsidRPr="00A91EEA">
        <w:rPr>
          <w:u w:val="single"/>
        </w:rPr>
        <w:t>total costs</w:t>
      </w:r>
      <w:r w:rsidR="00AE042C">
        <w:t xml:space="preserve"> of a compilation, but </w:t>
      </w:r>
      <w:r w:rsidR="001E5985">
        <w:t>historical estimates (&gt;</w:t>
      </w:r>
      <w:r w:rsidR="00AE042C">
        <w:t xml:space="preserve">10 years old) </w:t>
      </w:r>
      <w:r w:rsidR="00A91EEA">
        <w:t>showed</w:t>
      </w:r>
      <w:r w:rsidR="00AE042C">
        <w:t xml:space="preserve"> that</w:t>
      </w:r>
      <w:r w:rsidR="00A91EEA">
        <w:t>, o</w:t>
      </w:r>
      <w:r w:rsidR="00AE042C">
        <w:t>n average</w:t>
      </w:r>
      <w:r w:rsidR="00A91EEA">
        <w:t>, the WSC expenses for an average State was about</w:t>
      </w:r>
      <w:r w:rsidR="00AE042C">
        <w:t xml:space="preserve"> </w:t>
      </w:r>
      <w:r w:rsidR="00A91EEA">
        <w:t>$100,000 per WSC.</w:t>
      </w:r>
      <w:r w:rsidR="00AE042C">
        <w:t xml:space="preserve"> </w:t>
      </w:r>
      <w:r w:rsidR="00A91EEA">
        <w:t>It is conceivable that</w:t>
      </w:r>
      <w:r w:rsidR="00AE042C">
        <w:t xml:space="preserve"> compilations might run two to three times that much for large States like California, Texas, New York or Florida.  </w:t>
      </w:r>
    </w:p>
    <w:p w:rsidR="004C6146" w:rsidRDefault="00B624F2" w:rsidP="00630893">
      <w:pPr>
        <w:pStyle w:val="NormalWeb"/>
        <w:spacing w:before="0" w:beforeAutospacing="0"/>
      </w:pPr>
      <w:r>
        <w:t xml:space="preserve">For this budget, the </w:t>
      </w:r>
      <w:r w:rsidR="001E5985">
        <w:t xml:space="preserve">costs associated with </w:t>
      </w:r>
      <w:r>
        <w:t>assessing and disseminating</w:t>
      </w:r>
      <w:r w:rsidR="001E5985">
        <w:t xml:space="preserve"> the </w:t>
      </w:r>
      <w:r w:rsidR="004C6146">
        <w:t>irrigation consumptive</w:t>
      </w:r>
      <w:r w:rsidR="00750BC5">
        <w:t>-</w:t>
      </w:r>
      <w:r w:rsidR="0020622B">
        <w:t xml:space="preserve">use </w:t>
      </w:r>
      <w:r w:rsidR="00750BC5">
        <w:t>data</w:t>
      </w:r>
      <w:r>
        <w:t xml:space="preserve">, </w:t>
      </w:r>
      <w:proofErr w:type="spellStart"/>
      <w:r>
        <w:t>wateRuse</w:t>
      </w:r>
      <w:proofErr w:type="spellEnd"/>
      <w:r>
        <w:t xml:space="preserve"> QA</w:t>
      </w:r>
      <w:r w:rsidR="00E63153">
        <w:t>/</w:t>
      </w:r>
      <w:r>
        <w:t>QC program development, ancillary support staff, and work to compile livestock, mining and aquaculture county estimates</w:t>
      </w:r>
      <w:r w:rsidR="00750BC5">
        <w:t xml:space="preserve"> </w:t>
      </w:r>
      <w:r w:rsidR="004C6146">
        <w:t xml:space="preserve">are </w:t>
      </w:r>
      <w:r>
        <w:t>combined with</w:t>
      </w:r>
      <w:r w:rsidR="004C6146">
        <w:t xml:space="preserve"> Regional Water Use Specialist</w:t>
      </w:r>
      <w:r w:rsidR="001E5985">
        <w:t>’</w:t>
      </w:r>
      <w:r w:rsidR="004C6146">
        <w:t xml:space="preserve">s (RWUS) </w:t>
      </w:r>
      <w:r w:rsidR="001E5985">
        <w:t>individual</w:t>
      </w:r>
      <w:r w:rsidR="0020622B">
        <w:t xml:space="preserve"> </w:t>
      </w:r>
      <w:r w:rsidR="001E5985">
        <w:t>FY2017 budgets</w:t>
      </w:r>
      <w:r>
        <w:t>.  Not included are costs from</w:t>
      </w:r>
      <w:r w:rsidR="0020622B">
        <w:t xml:space="preserve"> </w:t>
      </w:r>
      <w:r w:rsidR="004C6146">
        <w:t xml:space="preserve">other </w:t>
      </w:r>
      <w:r w:rsidR="00750BC5">
        <w:t>Program</w:t>
      </w:r>
      <w:r w:rsidR="001E5985">
        <w:t xml:space="preserve"> efforts</w:t>
      </w:r>
      <w:r w:rsidR="00750BC5">
        <w:t xml:space="preserve"> </w:t>
      </w:r>
      <w:r w:rsidR="004C6146">
        <w:t>(Climate and Land Use Change)</w:t>
      </w:r>
      <w:r w:rsidR="00750BC5">
        <w:t xml:space="preserve"> </w:t>
      </w:r>
      <w:r>
        <w:t xml:space="preserve">to develop irrigation consumptive use.  The thermoelectric power model and data develop budget is in another EOY project review. </w:t>
      </w:r>
    </w:p>
    <w:p w:rsidR="004C6146" w:rsidRPr="001E5985" w:rsidRDefault="004C6146" w:rsidP="00630893">
      <w:pPr>
        <w:pStyle w:val="NormalWeb"/>
        <w:spacing w:before="0" w:beforeAutospacing="0"/>
        <w:rPr>
          <w:u w:val="single"/>
        </w:rPr>
      </w:pPr>
      <w:r w:rsidRPr="001E5985">
        <w:rPr>
          <w:u w:val="single"/>
        </w:rPr>
        <w:t>Project Activities and timelines:</w:t>
      </w:r>
    </w:p>
    <w:p w:rsidR="00750BC5" w:rsidRDefault="004C6146" w:rsidP="004C6146">
      <w:pPr>
        <w:pStyle w:val="NormalWeb"/>
        <w:spacing w:before="0" w:beforeAutospacing="0"/>
        <w:ind w:firstLine="720"/>
      </w:pPr>
      <w:r>
        <w:t xml:space="preserve">WSC </w:t>
      </w:r>
      <w:r w:rsidR="00750BC5">
        <w:t xml:space="preserve">water-use </w:t>
      </w:r>
      <w:r>
        <w:t xml:space="preserve">specialists </w:t>
      </w:r>
      <w:r w:rsidR="00750BC5">
        <w:t xml:space="preserve">are </w:t>
      </w:r>
      <w:r w:rsidR="001E5985">
        <w:t>required to</w:t>
      </w:r>
      <w:r w:rsidR="00750BC5">
        <w:t xml:space="preserve"> </w:t>
      </w:r>
      <w:r>
        <w:t xml:space="preserve">submit </w:t>
      </w:r>
      <w:r w:rsidR="00750BC5">
        <w:t xml:space="preserve">all </w:t>
      </w:r>
      <w:r>
        <w:t>data</w:t>
      </w:r>
      <w:r w:rsidR="001E5985">
        <w:t xml:space="preserve">, except thermoelectric power, for regional </w:t>
      </w:r>
      <w:r w:rsidR="00750BC5">
        <w:t>review</w:t>
      </w:r>
      <w:r w:rsidR="001E5985">
        <w:t xml:space="preserve"> </w:t>
      </w:r>
      <w:r>
        <w:t xml:space="preserve">via </w:t>
      </w:r>
      <w:r w:rsidR="00750BC5">
        <w:t>data-aging capabilities in AWUD</w:t>
      </w:r>
      <w:r w:rsidR="00E63153">
        <w:t>A</w:t>
      </w:r>
      <w:r>
        <w:t xml:space="preserve"> by</w:t>
      </w:r>
      <w:r w:rsidR="00750BC5">
        <w:t xml:space="preserve"> March 31, 2017. Data </w:t>
      </w:r>
      <w:r w:rsidR="00E63153">
        <w:t>submission</w:t>
      </w:r>
      <w:r w:rsidR="00750BC5">
        <w:t xml:space="preserve"> for thermoelectric power is </w:t>
      </w:r>
      <w:r w:rsidR="001E5985">
        <w:t xml:space="preserve">required </w:t>
      </w:r>
      <w:r w:rsidR="00750BC5">
        <w:t>by October 31, 2017</w:t>
      </w:r>
      <w:r w:rsidR="001E5985">
        <w:t>. All d</w:t>
      </w:r>
      <w:r w:rsidR="00750BC5">
        <w:t xml:space="preserve">ata must be submitted with full documentation.  FY2017 will be a period of data </w:t>
      </w:r>
      <w:r w:rsidR="00E63153">
        <w:t xml:space="preserve">compilation, </w:t>
      </w:r>
      <w:r w:rsidR="00750BC5">
        <w:t>review</w:t>
      </w:r>
      <w:r w:rsidR="001E5985">
        <w:t xml:space="preserve">, </w:t>
      </w:r>
      <w:r w:rsidR="00750BC5">
        <w:t xml:space="preserve">approval, </w:t>
      </w:r>
      <w:r w:rsidR="00E63153">
        <w:t>and preliminary reporting</w:t>
      </w:r>
      <w:r w:rsidR="0093232D">
        <w:t>.  National workshop instructions gave p</w:t>
      </w:r>
      <w:r w:rsidR="00750BC5">
        <w:t>riority to</w:t>
      </w:r>
      <w:r w:rsidR="0093232D">
        <w:t xml:space="preserve"> the</w:t>
      </w:r>
      <w:r w:rsidR="00750BC5">
        <w:t xml:space="preserve"> public supply and domestic categories</w:t>
      </w:r>
      <w:r w:rsidR="00E63153" w:rsidRPr="00E63153">
        <w:t xml:space="preserve"> </w:t>
      </w:r>
      <w:r w:rsidR="00CE258A">
        <w:t>with the hope that a</w:t>
      </w:r>
      <w:r w:rsidR="00E63153">
        <w:t xml:space="preserve">n expedited timeline for data releases </w:t>
      </w:r>
      <w:r w:rsidR="00CE258A">
        <w:t xml:space="preserve">by categories that are complete and </w:t>
      </w:r>
      <w:r w:rsidR="00E63153">
        <w:t xml:space="preserve">fully reviewed </w:t>
      </w:r>
      <w:r w:rsidR="00CE258A">
        <w:t>might</w:t>
      </w:r>
      <w:r w:rsidR="00E63153">
        <w:t xml:space="preserve"> be possible, but </w:t>
      </w:r>
      <w:r w:rsidR="00CE258A">
        <w:t xml:space="preserve">early release of any category is </w:t>
      </w:r>
      <w:r w:rsidR="00E63153">
        <w:t>not guaranteed</w:t>
      </w:r>
      <w:r w:rsidR="00750BC5">
        <w:t xml:space="preserve">. </w:t>
      </w:r>
      <w:r w:rsidR="000B2D5B">
        <w:t xml:space="preserve">A full national dataset and trends report is not possible until </w:t>
      </w:r>
      <w:r w:rsidR="0093232D">
        <w:t>all category</w:t>
      </w:r>
      <w:r w:rsidR="000B2D5B">
        <w:t xml:space="preserve"> dataset</w:t>
      </w:r>
      <w:r w:rsidR="00CE258A">
        <w:t>s</w:t>
      </w:r>
      <w:r w:rsidR="000B2D5B">
        <w:t xml:space="preserve"> </w:t>
      </w:r>
      <w:r w:rsidR="0093232D">
        <w:t>are</w:t>
      </w:r>
      <w:r w:rsidR="000B2D5B">
        <w:t xml:space="preserve"> compiled and reviewed, and due to the sc</w:t>
      </w:r>
      <w:r w:rsidR="00014684">
        <w:t>hedule for thermoelectric power</w:t>
      </w:r>
      <w:r w:rsidR="000B2D5B">
        <w:t xml:space="preserve"> </w:t>
      </w:r>
      <w:r w:rsidR="0093232D">
        <w:t xml:space="preserve">this is </w:t>
      </w:r>
      <w:r w:rsidR="000B2D5B">
        <w:t xml:space="preserve">not anticipated until </w:t>
      </w:r>
      <w:r w:rsidR="0093232D">
        <w:t xml:space="preserve">possibly </w:t>
      </w:r>
      <w:r w:rsidR="000B2D5B">
        <w:t>mid to late FY2018.</w:t>
      </w:r>
    </w:p>
    <w:p w:rsidR="000B2D5B" w:rsidRDefault="0093232D" w:rsidP="00630893">
      <w:pPr>
        <w:pStyle w:val="NormalWeb"/>
        <w:spacing w:before="0" w:beforeAutospacing="0" w:after="0" w:afterAutospacing="0"/>
      </w:pPr>
      <w:r>
        <w:t xml:space="preserve">Note, </w:t>
      </w:r>
      <w:r w:rsidR="00B624F2">
        <w:t xml:space="preserve">requested additional </w:t>
      </w:r>
      <w:r w:rsidR="00D46EB3">
        <w:t>FY2017 funds for livestock, minin</w:t>
      </w:r>
      <w:r>
        <w:t>g and aquaculture work were distributed to LMG</w:t>
      </w:r>
      <w:r w:rsidR="00B624F2">
        <w:t xml:space="preserve">-LA </w:t>
      </w:r>
      <w:r>
        <w:t xml:space="preserve">WSC </w:t>
      </w:r>
      <w:r w:rsidR="00D46EB3">
        <w:t>in FY2016</w:t>
      </w:r>
      <w:r>
        <w:t>,</w:t>
      </w:r>
      <w:r w:rsidR="00D46EB3">
        <w:t xml:space="preserve"> and carried over</w:t>
      </w:r>
      <w:r>
        <w:t xml:space="preserve"> into FY2017</w:t>
      </w:r>
      <w:r w:rsidR="00D46EB3">
        <w:t>, but are included here</w:t>
      </w:r>
      <w:r>
        <w:t>.</w:t>
      </w:r>
    </w:p>
    <w:p w:rsidR="000B2D5B" w:rsidRDefault="000B2D5B" w:rsidP="00630893">
      <w:pPr>
        <w:pStyle w:val="NormalWeb"/>
        <w:spacing w:before="0" w:beforeAutospacing="0" w:after="0" w:afterAutospacing="0"/>
      </w:pPr>
    </w:p>
    <w:p w:rsidR="000C5403" w:rsidRPr="005522D5" w:rsidRDefault="00302713" w:rsidP="00630893">
      <w:pPr>
        <w:numPr>
          <w:ilvl w:val="0"/>
          <w:numId w:val="20"/>
        </w:numPr>
        <w:autoSpaceDE w:val="0"/>
        <w:autoSpaceDN w:val="0"/>
        <w:adjustRightInd w:val="0"/>
        <w:spacing w:line="240" w:lineRule="atLeast"/>
        <w:rPr>
          <w:rFonts w:ascii="Arial" w:hAnsi="Arial" w:cs="Arial"/>
          <w:color w:val="000000"/>
        </w:rPr>
      </w:pPr>
      <w:r>
        <w:rPr>
          <w:rFonts w:ascii="Arial" w:hAnsi="Arial" w:cs="Arial"/>
          <w:color w:val="000000"/>
        </w:rPr>
        <w:t>Salary</w:t>
      </w:r>
      <w:r w:rsidR="000C5403" w:rsidRPr="005522D5">
        <w:rPr>
          <w:rFonts w:ascii="Arial" w:hAnsi="Arial" w:cs="Arial"/>
          <w:color w:val="000000"/>
        </w:rPr>
        <w:t xml:space="preserve"> </w:t>
      </w:r>
      <w:r w:rsidR="0093232D">
        <w:rPr>
          <w:rFonts w:ascii="Arial" w:hAnsi="Arial" w:cs="Arial"/>
          <w:color w:val="000000"/>
        </w:rPr>
        <w:t xml:space="preserve">   </w:t>
      </w:r>
      <w:r w:rsidR="0093232D" w:rsidRPr="00B624F2">
        <w:rPr>
          <w:rFonts w:ascii="Arial" w:hAnsi="Arial" w:cs="Arial"/>
          <w:b/>
          <w:color w:val="000000"/>
        </w:rPr>
        <w:t>$801,900</w:t>
      </w:r>
    </w:p>
    <w:p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color w:val="000000"/>
        </w:rPr>
        <w:t xml:space="preserve">Equipment/supplies (list </w:t>
      </w:r>
      <w:r w:rsidR="005522D5">
        <w:rPr>
          <w:rFonts w:ascii="Arial" w:hAnsi="Arial" w:cs="Arial"/>
          <w:color w:val="000000"/>
        </w:rPr>
        <w:t xml:space="preserve">only </w:t>
      </w:r>
      <w:r w:rsidRPr="005522D5">
        <w:rPr>
          <w:rFonts w:ascii="Arial" w:hAnsi="Arial" w:cs="Arial"/>
          <w:color w:val="000000"/>
        </w:rPr>
        <w:t>major items)</w:t>
      </w:r>
      <w:r w:rsidR="0093232D">
        <w:rPr>
          <w:rFonts w:ascii="Arial" w:hAnsi="Arial" w:cs="Arial"/>
          <w:color w:val="000000"/>
        </w:rPr>
        <w:t xml:space="preserve">   </w:t>
      </w:r>
      <w:r w:rsidR="0093232D" w:rsidRPr="00B624F2">
        <w:rPr>
          <w:rFonts w:ascii="Arial" w:hAnsi="Arial" w:cs="Arial"/>
          <w:b/>
          <w:color w:val="000000"/>
        </w:rPr>
        <w:t>$4,700</w:t>
      </w:r>
    </w:p>
    <w:p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lastRenderedPageBreak/>
        <w:t>Contracts (identify)</w:t>
      </w:r>
    </w:p>
    <w:p w:rsidR="000C5403" w:rsidRPr="005522D5" w:rsidRDefault="000C5403" w:rsidP="005522D5">
      <w:pPr>
        <w:numPr>
          <w:ilvl w:val="0"/>
          <w:numId w:val="20"/>
        </w:numPr>
        <w:autoSpaceDE w:val="0"/>
        <w:autoSpaceDN w:val="0"/>
        <w:adjustRightInd w:val="0"/>
        <w:spacing w:line="240" w:lineRule="atLeast"/>
        <w:rPr>
          <w:rFonts w:ascii="Arial" w:hAnsi="Arial" w:cs="Arial"/>
          <w:color w:val="000000"/>
        </w:rPr>
      </w:pPr>
      <w:r w:rsidRPr="005522D5">
        <w:rPr>
          <w:rFonts w:ascii="Arial" w:hAnsi="Arial" w:cs="Arial"/>
          <w:color w:val="000000"/>
        </w:rPr>
        <w:t>Publications</w:t>
      </w:r>
    </w:p>
    <w:p w:rsidR="000C5403" w:rsidRPr="00B624F2" w:rsidRDefault="000C5403" w:rsidP="005522D5">
      <w:pPr>
        <w:numPr>
          <w:ilvl w:val="0"/>
          <w:numId w:val="20"/>
        </w:numPr>
        <w:autoSpaceDE w:val="0"/>
        <w:autoSpaceDN w:val="0"/>
        <w:adjustRightInd w:val="0"/>
        <w:spacing w:line="240" w:lineRule="atLeast"/>
        <w:rPr>
          <w:rFonts w:ascii="Arial" w:hAnsi="Arial" w:cs="Arial"/>
          <w:b/>
          <w:color w:val="000000"/>
        </w:rPr>
      </w:pPr>
      <w:r w:rsidRPr="005522D5">
        <w:rPr>
          <w:rFonts w:ascii="Arial" w:hAnsi="Arial" w:cs="Arial"/>
        </w:rPr>
        <w:t>Travel</w:t>
      </w:r>
      <w:r w:rsidR="0093232D">
        <w:rPr>
          <w:rFonts w:ascii="Arial" w:hAnsi="Arial" w:cs="Arial"/>
        </w:rPr>
        <w:t xml:space="preserve">   </w:t>
      </w:r>
      <w:r w:rsidR="0093232D" w:rsidRPr="00B624F2">
        <w:rPr>
          <w:rFonts w:ascii="Arial" w:hAnsi="Arial" w:cs="Arial"/>
          <w:b/>
        </w:rPr>
        <w:t>$54,120</w:t>
      </w:r>
      <w:r w:rsidR="001C7D19">
        <w:rPr>
          <w:rFonts w:ascii="Arial" w:hAnsi="Arial" w:cs="Arial"/>
          <w:b/>
        </w:rPr>
        <w:t xml:space="preserve"> (Does not include $70K for workshop</w:t>
      </w:r>
      <w:r w:rsidR="00E63153">
        <w:rPr>
          <w:rFonts w:ascii="Arial" w:hAnsi="Arial" w:cs="Arial"/>
          <w:b/>
        </w:rPr>
        <w:t xml:space="preserve"> travel by WSC specialists</w:t>
      </w:r>
      <w:r w:rsidR="001C7D19">
        <w:rPr>
          <w:rFonts w:ascii="Arial" w:hAnsi="Arial" w:cs="Arial"/>
          <w:b/>
        </w:rPr>
        <w:t>)</w:t>
      </w:r>
    </w:p>
    <w:p w:rsidR="00302713" w:rsidRPr="005522D5" w:rsidRDefault="00302713" w:rsidP="005522D5">
      <w:pPr>
        <w:numPr>
          <w:ilvl w:val="0"/>
          <w:numId w:val="20"/>
        </w:numPr>
        <w:autoSpaceDE w:val="0"/>
        <w:autoSpaceDN w:val="0"/>
        <w:adjustRightInd w:val="0"/>
        <w:spacing w:line="240" w:lineRule="atLeast"/>
        <w:rPr>
          <w:rFonts w:ascii="Arial" w:hAnsi="Arial" w:cs="Arial"/>
          <w:color w:val="000000"/>
        </w:rPr>
      </w:pPr>
      <w:r>
        <w:rPr>
          <w:rFonts w:ascii="Arial" w:hAnsi="Arial" w:cs="Arial"/>
        </w:rPr>
        <w:t>Provide the total funding broken out by cost center so that the program can allocate the funding appropriately.</w:t>
      </w:r>
      <w:r w:rsidR="0093232D">
        <w:rPr>
          <w:rFonts w:ascii="Arial" w:hAnsi="Arial" w:cs="Arial"/>
        </w:rPr>
        <w:t xml:space="preserve"> (</w:t>
      </w:r>
      <w:r w:rsidR="0093232D" w:rsidRPr="00040F70">
        <w:rPr>
          <w:rFonts w:ascii="Arial" w:hAnsi="Arial" w:cs="Arial"/>
          <w:i/>
        </w:rPr>
        <w:t xml:space="preserve">see FY17 Budget worksheets provided to </w:t>
      </w:r>
      <w:proofErr w:type="spellStart"/>
      <w:r w:rsidR="0093232D" w:rsidRPr="00040F70">
        <w:rPr>
          <w:rFonts w:ascii="Arial" w:hAnsi="Arial" w:cs="Arial"/>
          <w:i/>
        </w:rPr>
        <w:t>Mindi</w:t>
      </w:r>
      <w:proofErr w:type="spellEnd"/>
      <w:r w:rsidR="0093232D" w:rsidRPr="00040F70">
        <w:rPr>
          <w:rFonts w:ascii="Arial" w:hAnsi="Arial" w:cs="Arial"/>
          <w:i/>
        </w:rPr>
        <w:t xml:space="preserve"> </w:t>
      </w:r>
      <w:r w:rsidR="00040F70" w:rsidRPr="00040F70">
        <w:rPr>
          <w:rFonts w:ascii="Arial" w:hAnsi="Arial" w:cs="Arial"/>
          <w:i/>
        </w:rPr>
        <w:t>in June 2016</w:t>
      </w:r>
      <w:r w:rsidR="00040F70">
        <w:rPr>
          <w:rFonts w:ascii="Arial" w:hAnsi="Arial" w:cs="Arial"/>
        </w:rPr>
        <w:t>)</w:t>
      </w:r>
    </w:p>
    <w:p w:rsidR="000C5403" w:rsidRDefault="000C5403" w:rsidP="00630893">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rsidR="00630893" w:rsidRDefault="00630893" w:rsidP="00630893">
      <w:pPr>
        <w:pStyle w:val="NormalWeb"/>
        <w:spacing w:before="0" w:beforeAutospacing="0"/>
        <w:rPr>
          <w:color w:val="000000"/>
        </w:rPr>
      </w:pPr>
    </w:p>
    <w:p w:rsidR="002166FA" w:rsidRDefault="00040F70" w:rsidP="00630893">
      <w:pPr>
        <w:pStyle w:val="NormalWeb"/>
        <w:spacing w:before="0" w:beforeAutospacing="0"/>
        <w:rPr>
          <w:color w:val="000000"/>
        </w:rPr>
      </w:pPr>
      <w:r>
        <w:rPr>
          <w:color w:val="000000"/>
        </w:rPr>
        <w:t xml:space="preserve">Collaboration within USGS </w:t>
      </w:r>
      <w:r w:rsidR="00B624F2">
        <w:rPr>
          <w:color w:val="000000"/>
        </w:rPr>
        <w:t xml:space="preserve">included the USGS MIT </w:t>
      </w:r>
      <w:r>
        <w:rPr>
          <w:color w:val="000000"/>
        </w:rPr>
        <w:t>(Minerals Information Team)</w:t>
      </w:r>
      <w:r w:rsidR="00B624F2">
        <w:rPr>
          <w:color w:val="000000"/>
        </w:rPr>
        <w:t xml:space="preserve"> for mining information.  Outside collaboration </w:t>
      </w:r>
      <w:r>
        <w:rPr>
          <w:color w:val="000000"/>
        </w:rPr>
        <w:t>with US Department of Agriculture was established when methods were developed for livest</w:t>
      </w:r>
      <w:r w:rsidR="00B624F2">
        <w:rPr>
          <w:color w:val="000000"/>
        </w:rPr>
        <w:t xml:space="preserve">ock </w:t>
      </w:r>
      <w:r>
        <w:rPr>
          <w:color w:val="000000"/>
        </w:rPr>
        <w:t>and aquaculture to facilitate the national team building these county estimates. These collaborations continue today.  Other collaboration includes work with US Department of Energy, Energy Information Administration with regards to EIA survey data (2013) questionnaire forms, data QAQC, and model development for thermoelectric power w</w:t>
      </w:r>
      <w:r w:rsidR="002166FA">
        <w:rPr>
          <w:color w:val="000000"/>
        </w:rPr>
        <w:t>ithdrawals and consumptive use. C</w:t>
      </w:r>
      <w:r>
        <w:rPr>
          <w:color w:val="000000"/>
        </w:rPr>
        <w:t xml:space="preserve">ollaboration with </w:t>
      </w:r>
      <w:r w:rsidR="002166FA">
        <w:rPr>
          <w:color w:val="000000"/>
        </w:rPr>
        <w:t xml:space="preserve">CLU Program and EROS staff have been instrumental in providing national 1 KM resolution evapotranspiration data (for irrigation consumptive use), and understanding the correct use and interpretation of this data with regards to water-use data needs. Collaboration with US EPA Office of Ground Water and Drinking Water has provided new updates to SDWIS datasets, which are the source for public-supply facility and system data. Conversations continue with US EPA and exchanges of information are helping to better understand the data they have. </w:t>
      </w:r>
      <w:r w:rsidR="00C3396D">
        <w:rPr>
          <w:color w:val="000000"/>
        </w:rPr>
        <w:t>Finally, a letter of support and collaboration with the US Census Bureau, Center for Economic Studies is resulting in a test survey, and potential for re-instating important water-use related questions in the 2017 Census of Manufacturing Survey.  This would help produce new and badly-needed information for industrial water use assessments in the US.</w:t>
      </w:r>
    </w:p>
    <w:p w:rsidR="000C5403" w:rsidRPr="00630893" w:rsidRDefault="002166FA" w:rsidP="00630893">
      <w:pPr>
        <w:pStyle w:val="NormalWeb"/>
        <w:spacing w:before="0" w:beforeAutospacing="0"/>
        <w:rPr>
          <w:color w:val="000000"/>
        </w:rPr>
      </w:pPr>
      <w:r>
        <w:rPr>
          <w:color w:val="000000"/>
        </w:rPr>
        <w:t xml:space="preserve">During the 2016 National Groundwater Workshop, a technical half-day session was offered for training in the site-specific water use database systems (SWUDS), as well as a half-day concurrent session on water-use related activities and program activities in the USGS. A talk on the USGS efforts to build a site-specific public supply database will be </w:t>
      </w:r>
      <w:r w:rsidR="005E4F9B">
        <w:rPr>
          <w:color w:val="000000"/>
        </w:rPr>
        <w:t>presented</w:t>
      </w:r>
      <w:r>
        <w:rPr>
          <w:color w:val="000000"/>
        </w:rPr>
        <w:t xml:space="preserve"> at the </w:t>
      </w:r>
      <w:r w:rsidR="00C3396D">
        <w:rPr>
          <w:color w:val="000000"/>
        </w:rPr>
        <w:t xml:space="preserve">2016 </w:t>
      </w:r>
      <w:r>
        <w:rPr>
          <w:color w:val="000000"/>
        </w:rPr>
        <w:t xml:space="preserve">AWRA </w:t>
      </w:r>
      <w:r w:rsidR="00C3396D">
        <w:rPr>
          <w:color w:val="000000"/>
        </w:rPr>
        <w:t>Annual Conference in Florida.</w:t>
      </w:r>
      <w:r w:rsidR="00B624F2">
        <w:rPr>
          <w:color w:val="000000"/>
        </w:rPr>
        <w:t xml:space="preserve"> </w:t>
      </w:r>
    </w:p>
    <w:p w:rsidR="00630893" w:rsidRDefault="00C3396D" w:rsidP="00630893">
      <w:pPr>
        <w:pStyle w:val="NormalWeb"/>
        <w:spacing w:after="0" w:afterAutospacing="0"/>
        <w:rPr>
          <w:rStyle w:val="Strong"/>
        </w:rPr>
      </w:pPr>
      <w:r>
        <w:rPr>
          <w:rStyle w:val="Strong"/>
        </w:rPr>
        <w:t xml:space="preserve"> </w:t>
      </w:r>
      <w:r w:rsidR="000D6242">
        <w:rPr>
          <w:rStyle w:val="Strong"/>
        </w:rPr>
        <w:t xml:space="preserve">(4) </w:t>
      </w:r>
      <w:r w:rsidR="000D6242" w:rsidRPr="000D6242">
        <w:rPr>
          <w:b/>
        </w:rPr>
        <w:t>Report Products, Bibliographic Update, Data Releases, and Groundwater-Model Archives</w:t>
      </w:r>
    </w:p>
    <w:p w:rsidR="00A70BEF" w:rsidRPr="00630893" w:rsidRDefault="00C3396D" w:rsidP="00630893">
      <w:pPr>
        <w:pStyle w:val="NormalWeb"/>
        <w:spacing w:before="0" w:beforeAutospacing="0"/>
        <w:rPr>
          <w:rStyle w:val="Strong"/>
        </w:rPr>
      </w:pPr>
      <w:r>
        <w:t xml:space="preserve">At this time, no new national products have been produced and released since the 2010 compilation. </w:t>
      </w:r>
    </w:p>
    <w:p w:rsidR="00C3396D" w:rsidRDefault="00630893" w:rsidP="00AA4C60">
      <w:pPr>
        <w:pStyle w:val="NormalWeb"/>
      </w:pPr>
      <w:r>
        <w:rPr>
          <w:rStyle w:val="Strong"/>
        </w:rPr>
        <w:lastRenderedPageBreak/>
        <w:t>(5</w:t>
      </w:r>
      <w:r w:rsidR="00D54F3C">
        <w:rPr>
          <w:rStyle w:val="Strong"/>
        </w:rPr>
        <w:t xml:space="preserve">) </w:t>
      </w:r>
      <w:r w:rsidR="00E876A9">
        <w:rPr>
          <w:rStyle w:val="Strong"/>
        </w:rPr>
        <w:t>PROJECT</w:t>
      </w:r>
      <w:r w:rsidR="00D54F3C">
        <w:rPr>
          <w:rStyle w:val="Strong"/>
        </w:rPr>
        <w:t xml:space="preserve"> TEAM DIRECTORY </w:t>
      </w:r>
      <w:r w:rsidR="00C3396D">
        <w:t>–</w:t>
      </w:r>
      <w:r w:rsidR="00D54F3C">
        <w:t xml:space="preserve"> </w:t>
      </w:r>
    </w:p>
    <w:p w:rsidR="00631AC7" w:rsidRDefault="00C3396D" w:rsidP="00AA4C60">
      <w:pPr>
        <w:pStyle w:val="NormalWeb"/>
      </w:pPr>
      <w:r w:rsidRPr="00B624F2">
        <w:rPr>
          <w:u w:val="single"/>
        </w:rPr>
        <w:t>Molly Maupin,</w:t>
      </w:r>
      <w:r>
        <w:t xml:space="preserve"> National Water Use Science Team Lead</w:t>
      </w:r>
      <w:r w:rsidR="00CB13E9">
        <w:t xml:space="preserve"> for NWULT</w:t>
      </w:r>
      <w:r>
        <w:t xml:space="preserve">; Idaho WSC, Boise; 208-387-1307; </w:t>
      </w:r>
      <w:hyperlink r:id="rId10" w:history="1">
        <w:r w:rsidRPr="005F615E">
          <w:rPr>
            <w:rStyle w:val="Hyperlink"/>
          </w:rPr>
          <w:t>mamaupin@usgs.gov</w:t>
        </w:r>
      </w:hyperlink>
      <w:r>
        <w:t>;</w:t>
      </w:r>
      <w:r w:rsidR="00945D43">
        <w:t xml:space="preserve"> oversight on 2015 compilation</w:t>
      </w:r>
      <w:r>
        <w:t xml:space="preserve"> and WAUSP </w:t>
      </w:r>
      <w:r w:rsidR="00CB13E9">
        <w:t>liaison</w:t>
      </w:r>
      <w:r>
        <w:t xml:space="preserve"> for water use activities in Focus Area Studies and Topical Studies. </w:t>
      </w:r>
    </w:p>
    <w:p w:rsidR="00945D43" w:rsidRDefault="00945D43" w:rsidP="00AA4C60">
      <w:pPr>
        <w:pStyle w:val="NormalWeb"/>
      </w:pPr>
      <w:r w:rsidRPr="00B624F2">
        <w:rPr>
          <w:u w:val="single"/>
        </w:rPr>
        <w:t>Cheryl Dieter,</w:t>
      </w:r>
      <w:r>
        <w:t xml:space="preserve"> </w:t>
      </w:r>
      <w:r w:rsidR="00CB13E9">
        <w:t xml:space="preserve">NWULT </w:t>
      </w:r>
      <w:r>
        <w:t>Regional Specialist</w:t>
      </w:r>
      <w:r w:rsidR="00121484">
        <w:t>-Northeastern States</w:t>
      </w:r>
      <w:r>
        <w:t xml:space="preserve">; Maryland WSC, Baltimore; 443-498-5537; </w:t>
      </w:r>
      <w:hyperlink r:id="rId11" w:history="1">
        <w:r w:rsidRPr="005F615E">
          <w:rPr>
            <w:rStyle w:val="Hyperlink"/>
          </w:rPr>
          <w:t>cadieter@usgs.gov</w:t>
        </w:r>
      </w:hyperlink>
      <w:r>
        <w:t xml:space="preserve">; </w:t>
      </w:r>
      <w:r w:rsidR="00121484">
        <w:t>In addition to regional work, Cheryl c</w:t>
      </w:r>
      <w:r>
        <w:t xml:space="preserve">oordinates activities and training with </w:t>
      </w:r>
      <w:proofErr w:type="spellStart"/>
      <w:r>
        <w:t>wateRuse</w:t>
      </w:r>
      <w:proofErr w:type="spellEnd"/>
      <w:r>
        <w:t xml:space="preserve"> programming and support team</w:t>
      </w:r>
      <w:r w:rsidR="00121484">
        <w:t>. She is also the c</w:t>
      </w:r>
      <w:r>
        <w:t xml:space="preserve">o-chair </w:t>
      </w:r>
      <w:r w:rsidR="00121484">
        <w:t xml:space="preserve">for </w:t>
      </w:r>
      <w:r>
        <w:t xml:space="preserve">WUDR </w:t>
      </w:r>
      <w:r w:rsidR="00121484">
        <w:t xml:space="preserve">(Water Use and Data Research, aka State cooperative grants) </w:t>
      </w:r>
      <w:r>
        <w:t>(not included in this budget).</w:t>
      </w:r>
    </w:p>
    <w:p w:rsidR="00945D43" w:rsidRDefault="00945D43" w:rsidP="00AA4C60">
      <w:pPr>
        <w:pStyle w:val="NormalWeb"/>
      </w:pPr>
      <w:r w:rsidRPr="00B624F2">
        <w:rPr>
          <w:u w:val="single"/>
        </w:rPr>
        <w:t>Melissa Harris,</w:t>
      </w:r>
      <w:r>
        <w:t xml:space="preserve"> </w:t>
      </w:r>
      <w:r w:rsidR="00CB13E9">
        <w:t xml:space="preserve">NWULT </w:t>
      </w:r>
      <w:r>
        <w:t>Regional Specialist</w:t>
      </w:r>
      <w:r w:rsidR="00121484">
        <w:t>-Southeastern States</w:t>
      </w:r>
      <w:r>
        <w:t xml:space="preserve">; </w:t>
      </w:r>
      <w:r w:rsidR="00121484">
        <w:t>LMG-Tennessee, Nashville</w:t>
      </w:r>
      <w:r>
        <w:t xml:space="preserve">; 615-837-4792; </w:t>
      </w:r>
      <w:hyperlink r:id="rId12" w:history="1">
        <w:r w:rsidRPr="005F615E">
          <w:rPr>
            <w:rStyle w:val="Hyperlink"/>
          </w:rPr>
          <w:t>mharris@usgs.gov</w:t>
        </w:r>
      </w:hyperlink>
      <w:r>
        <w:t xml:space="preserve">; </w:t>
      </w:r>
      <w:r w:rsidR="00121484">
        <w:t>In addition to regional work, Melissa is the l</w:t>
      </w:r>
      <w:r>
        <w:t xml:space="preserve">ead on </w:t>
      </w:r>
      <w:r w:rsidR="00121484">
        <w:t xml:space="preserve">the national </w:t>
      </w:r>
      <w:r>
        <w:t>thermoelectric power model</w:t>
      </w:r>
      <w:r w:rsidR="00CB13E9">
        <w:t xml:space="preserve"> (not included in this budget).</w:t>
      </w:r>
    </w:p>
    <w:p w:rsidR="00121484" w:rsidRDefault="00121484" w:rsidP="00AA4C60">
      <w:pPr>
        <w:pStyle w:val="NormalWeb"/>
      </w:pPr>
      <w:r w:rsidRPr="00017779">
        <w:rPr>
          <w:u w:val="single"/>
        </w:rPr>
        <w:t>Tamara Ivahnenko,</w:t>
      </w:r>
      <w:r>
        <w:t xml:space="preserve"> </w:t>
      </w:r>
      <w:r w:rsidR="00CB13E9">
        <w:t xml:space="preserve">NWULT </w:t>
      </w:r>
      <w:r>
        <w:t xml:space="preserve">Regional Specialist-Central States; Colorado WSC, Pueblo; 719-562-2848; </w:t>
      </w:r>
      <w:hyperlink r:id="rId13" w:history="1">
        <w:r w:rsidRPr="005F615E">
          <w:rPr>
            <w:rStyle w:val="Hyperlink"/>
          </w:rPr>
          <w:t>ivahnenk@usgs.gov</w:t>
        </w:r>
      </w:hyperlink>
      <w:r>
        <w:t>; In addition to regional work, Tammy is co-coordinator for interpretation and dissemination of irrigation consumptive use dataset.</w:t>
      </w:r>
      <w:r w:rsidR="00CB13E9">
        <w:t xml:space="preserve"> </w:t>
      </w:r>
    </w:p>
    <w:p w:rsidR="00121484" w:rsidRDefault="00121484" w:rsidP="00AA4C60">
      <w:pPr>
        <w:pStyle w:val="NormalWeb"/>
      </w:pPr>
      <w:r w:rsidRPr="00017779">
        <w:rPr>
          <w:u w:val="single"/>
        </w:rPr>
        <w:t>Rodney Caldwell</w:t>
      </w:r>
      <w:r>
        <w:t xml:space="preserve">, </w:t>
      </w:r>
      <w:r w:rsidR="00CB13E9">
        <w:t xml:space="preserve">NWULT </w:t>
      </w:r>
      <w:r>
        <w:t xml:space="preserve">Regional Specialist-Western States; WY-MT WSC, Helena; 406-457-5933; </w:t>
      </w:r>
      <w:hyperlink r:id="rId14" w:history="1">
        <w:r w:rsidR="00017779" w:rsidRPr="005F615E">
          <w:rPr>
            <w:rStyle w:val="Hyperlink"/>
          </w:rPr>
          <w:t>caldwell@usgs.gov</w:t>
        </w:r>
      </w:hyperlink>
      <w:r>
        <w:t>; In addition to regional work, Rod is co-coordinator for interpretation and dissemination of irrigation consumptive use dataset.</w:t>
      </w:r>
    </w:p>
    <w:p w:rsidR="00121484" w:rsidRDefault="00CB13E9" w:rsidP="00AA4C60">
      <w:pPr>
        <w:pStyle w:val="NormalWeb"/>
      </w:pPr>
      <w:r w:rsidRPr="00017779">
        <w:rPr>
          <w:u w:val="single"/>
        </w:rPr>
        <w:t>Nancy Barber,</w:t>
      </w:r>
      <w:r>
        <w:t xml:space="preserve"> NWULT D</w:t>
      </w:r>
      <w:r w:rsidR="00121484">
        <w:t xml:space="preserve">atabase Coordinator; </w:t>
      </w:r>
      <w:r w:rsidR="00CE258A">
        <w:t>SA WSC</w:t>
      </w:r>
      <w:r w:rsidR="00121484">
        <w:t>-</w:t>
      </w:r>
      <w:r w:rsidR="00CE258A">
        <w:t>Norcross, Georgia</w:t>
      </w:r>
      <w:bookmarkStart w:id="0" w:name="_GoBack"/>
      <w:bookmarkEnd w:id="0"/>
      <w:r w:rsidR="00121484">
        <w:t xml:space="preserve">; </w:t>
      </w:r>
      <w:r>
        <w:t xml:space="preserve">678-924-6627; </w:t>
      </w:r>
      <w:hyperlink r:id="rId15" w:history="1">
        <w:r w:rsidRPr="005F615E">
          <w:rPr>
            <w:rStyle w:val="Hyperlink"/>
          </w:rPr>
          <w:t>nlbarber@usgs.gov</w:t>
        </w:r>
      </w:hyperlink>
      <w:r>
        <w:t xml:space="preserve">; Database coordinator and liaison </w:t>
      </w:r>
      <w:r w:rsidR="000F46D4">
        <w:t xml:space="preserve">to NWIS and Water Use User Group (WUUG). Provides </w:t>
      </w:r>
      <w:r>
        <w:t>support to national team with data dissemination in reports and on the web.</w:t>
      </w:r>
      <w:r w:rsidR="000F46D4">
        <w:t xml:space="preserve"> Lead on PS SWUDS effort (not in this budget)</w:t>
      </w:r>
    </w:p>
    <w:p w:rsidR="00CB13E9" w:rsidRDefault="00CB13E9" w:rsidP="00AA4C60">
      <w:pPr>
        <w:pStyle w:val="NormalWeb"/>
      </w:pPr>
      <w:r w:rsidRPr="00017779">
        <w:rPr>
          <w:u w:val="single"/>
        </w:rPr>
        <w:t>John Lovelace,</w:t>
      </w:r>
      <w:r>
        <w:t xml:space="preserve"> NWULT Member; LMG-Louisiana, Baton Rouge; 225-298-5481 X3210; </w:t>
      </w:r>
      <w:hyperlink r:id="rId16" w:history="1">
        <w:r w:rsidRPr="005F615E">
          <w:rPr>
            <w:rStyle w:val="Hyperlink"/>
          </w:rPr>
          <w:t>jlovelac@usgs.gov</w:t>
        </w:r>
      </w:hyperlink>
      <w:r>
        <w:t xml:space="preserve">; </w:t>
      </w:r>
      <w:r w:rsidR="00017779">
        <w:t xml:space="preserve">In addition to being a </w:t>
      </w:r>
      <w:r>
        <w:t>NWULT team member</w:t>
      </w:r>
      <w:r w:rsidR="00017779">
        <w:t>, John has</w:t>
      </w:r>
      <w:r>
        <w:t xml:space="preserve"> oversight </w:t>
      </w:r>
      <w:r w:rsidR="00017779">
        <w:t>on the</w:t>
      </w:r>
      <w:r>
        <w:t xml:space="preserve"> national county estimates for livestock, mining and aquaculture. </w:t>
      </w:r>
    </w:p>
    <w:p w:rsidR="00CB13E9" w:rsidRDefault="00CB13E9" w:rsidP="00AA4C60">
      <w:pPr>
        <w:pStyle w:val="NormalWeb"/>
      </w:pPr>
      <w:r w:rsidRPr="00017779">
        <w:rPr>
          <w:u w:val="single"/>
        </w:rPr>
        <w:t>Kristin Linsey,</w:t>
      </w:r>
      <w:r>
        <w:t xml:space="preserve"> </w:t>
      </w:r>
      <w:r w:rsidR="000F46D4">
        <w:t xml:space="preserve">Support Member, New York WSC, Troy; 518-285-5636; </w:t>
      </w:r>
      <w:hyperlink r:id="rId17" w:history="1">
        <w:r w:rsidR="000F46D4" w:rsidRPr="005F615E">
          <w:rPr>
            <w:rStyle w:val="Hyperlink"/>
          </w:rPr>
          <w:t>kslinsey@usgs.gov</w:t>
        </w:r>
      </w:hyperlink>
      <w:r w:rsidR="000F46D4">
        <w:t xml:space="preserve">; </w:t>
      </w:r>
      <w:proofErr w:type="spellStart"/>
      <w:r w:rsidR="00017779">
        <w:t>Krissi</w:t>
      </w:r>
      <w:proofErr w:type="spellEnd"/>
      <w:r w:rsidR="00017779">
        <w:t xml:space="preserve"> provides</w:t>
      </w:r>
      <w:r w:rsidR="000F46D4">
        <w:t xml:space="preserve"> national county and </w:t>
      </w:r>
      <w:proofErr w:type="spellStart"/>
      <w:r w:rsidR="000F46D4">
        <w:t>huc</w:t>
      </w:r>
      <w:proofErr w:type="spellEnd"/>
      <w:r w:rsidR="000F46D4">
        <w:t xml:space="preserve"> populations, </w:t>
      </w:r>
      <w:r w:rsidR="00017779">
        <w:t xml:space="preserve">assistance in national report publication, </w:t>
      </w:r>
      <w:r w:rsidR="000F46D4">
        <w:t>and</w:t>
      </w:r>
      <w:r w:rsidR="00017779">
        <w:t xml:space="preserve"> is lead for the</w:t>
      </w:r>
      <w:r w:rsidR="000F46D4">
        <w:t xml:space="preserve"> </w:t>
      </w:r>
      <w:r w:rsidR="00017779">
        <w:t xml:space="preserve">OED </w:t>
      </w:r>
      <w:r w:rsidR="000F46D4">
        <w:t>on-line training (not included in budget).</w:t>
      </w:r>
    </w:p>
    <w:p w:rsidR="00E93739" w:rsidRDefault="00630893" w:rsidP="00AA4C60">
      <w:pPr>
        <w:pStyle w:val="NormalWeb"/>
        <w:rPr>
          <w:b/>
        </w:r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r w:rsidR="00BE53F9">
        <w:rPr>
          <w:b/>
        </w:rPr>
        <w:t xml:space="preserve"> – </w:t>
      </w:r>
    </w:p>
    <w:p w:rsidR="00B53E92" w:rsidRPr="00B53E92" w:rsidRDefault="00B53E92" w:rsidP="00AA4C60">
      <w:pPr>
        <w:pStyle w:val="NormalWeb"/>
      </w:pPr>
      <w:r w:rsidRPr="00B53E92">
        <w:lastRenderedPageBreak/>
        <w:t>See Molly for google drive of photos.</w:t>
      </w:r>
    </w:p>
    <w:p w:rsidR="00017779" w:rsidRDefault="003611E9" w:rsidP="00AA4C60">
      <w:pPr>
        <w:pStyle w:val="NormalWeb"/>
      </w:pPr>
      <w:r>
        <w:t xml:space="preserve">Water Use changing categories over time with links to definitions: </w:t>
      </w:r>
      <w:hyperlink r:id="rId18" w:history="1">
        <w:r w:rsidRPr="005F615E">
          <w:rPr>
            <w:rStyle w:val="Hyperlink"/>
          </w:rPr>
          <w:t>http://water.usgs.gov/watuse/WU-Category-Changes.html</w:t>
        </w:r>
      </w:hyperlink>
    </w:p>
    <w:p w:rsidR="003611E9" w:rsidRDefault="00B53E92" w:rsidP="00AA4C60">
      <w:pPr>
        <w:pStyle w:val="NormalWeb"/>
      </w:pPr>
      <w:r>
        <w:t xml:space="preserve">Total Water Use graph, charts that </w:t>
      </w:r>
      <w:r w:rsidR="003611E9">
        <w:t>illustrate the west-to-east comparative use</w:t>
      </w:r>
      <w:r>
        <w:t xml:space="preserve"> by total, and by category</w:t>
      </w:r>
      <w:r w:rsidR="003611E9">
        <w:t xml:space="preserve">: </w:t>
      </w:r>
      <w:hyperlink r:id="rId19" w:history="1">
        <w:r w:rsidR="003611E9" w:rsidRPr="005F615E">
          <w:rPr>
            <w:rStyle w:val="Hyperlink"/>
          </w:rPr>
          <w:t>http://water.usgs.gov/watuse/wuto.html</w:t>
        </w:r>
      </w:hyperlink>
    </w:p>
    <w:p w:rsidR="003611E9" w:rsidRDefault="00B53E92" w:rsidP="00AA4C60">
      <w:pPr>
        <w:pStyle w:val="NormalWeb"/>
      </w:pPr>
      <w:r>
        <w:t xml:space="preserve">Trends, 1950-2010, in total water use by source with population: </w:t>
      </w:r>
      <w:hyperlink r:id="rId20" w:history="1">
        <w:r w:rsidRPr="005F615E">
          <w:rPr>
            <w:rStyle w:val="Hyperlink"/>
          </w:rPr>
          <w:t>http://water.usgs.gov/watuse/wutrends.html</w:t>
        </w:r>
      </w:hyperlink>
    </w:p>
    <w:p w:rsidR="00B53E92" w:rsidRPr="00593B05" w:rsidRDefault="00B53E92" w:rsidP="00AA4C60">
      <w:pPr>
        <w:pStyle w:val="NormalWeb"/>
      </w:pPr>
    </w:p>
    <w:sectPr w:rsidR="00B53E92" w:rsidRPr="00593B05">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7C" w:rsidRDefault="00983E7C">
      <w:r>
        <w:separator/>
      </w:r>
    </w:p>
  </w:endnote>
  <w:endnote w:type="continuationSeparator" w:id="0">
    <w:p w:rsidR="00983E7C" w:rsidRDefault="0098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258A">
      <w:rPr>
        <w:rStyle w:val="PageNumber"/>
        <w:noProof/>
      </w:rPr>
      <w:t>3</w:t>
    </w:r>
    <w:r>
      <w:rPr>
        <w:rStyle w:val="PageNumber"/>
      </w:rPr>
      <w:fldChar w:fldCharType="end"/>
    </w:r>
  </w:p>
  <w:p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7C" w:rsidRDefault="00983E7C">
      <w:r>
        <w:separator/>
      </w:r>
    </w:p>
  </w:footnote>
  <w:footnote w:type="continuationSeparator" w:id="0">
    <w:p w:rsidR="00983E7C" w:rsidRDefault="00983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FE0C35"/>
    <w:multiLevelType w:val="hybridMultilevel"/>
    <w:tmpl w:val="2270AD96"/>
    <w:lvl w:ilvl="0" w:tplc="8A0C9A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6"/>
  </w:num>
  <w:num w:numId="4">
    <w:abstractNumId w:val="17"/>
  </w:num>
  <w:num w:numId="5">
    <w:abstractNumId w:val="7"/>
  </w:num>
  <w:num w:numId="6">
    <w:abstractNumId w:val="11"/>
  </w:num>
  <w:num w:numId="7">
    <w:abstractNumId w:val="8"/>
  </w:num>
  <w:num w:numId="8">
    <w:abstractNumId w:val="5"/>
  </w:num>
  <w:num w:numId="9">
    <w:abstractNumId w:val="0"/>
  </w:num>
  <w:num w:numId="10">
    <w:abstractNumId w:val="18"/>
  </w:num>
  <w:num w:numId="11">
    <w:abstractNumId w:val="16"/>
  </w:num>
  <w:num w:numId="12">
    <w:abstractNumId w:val="19"/>
  </w:num>
  <w:num w:numId="13">
    <w:abstractNumId w:val="3"/>
  </w:num>
  <w:num w:numId="14">
    <w:abstractNumId w:val="14"/>
  </w:num>
  <w:num w:numId="15">
    <w:abstractNumId w:val="10"/>
  </w:num>
  <w:num w:numId="16">
    <w:abstractNumId w:val="4"/>
  </w:num>
  <w:num w:numId="17">
    <w:abstractNumId w:val="20"/>
  </w:num>
  <w:num w:numId="18">
    <w:abstractNumId w:val="1"/>
  </w:num>
  <w:num w:numId="19">
    <w:abstractNumId w:val="2"/>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B05"/>
    <w:rsid w:val="00001387"/>
    <w:rsid w:val="00014684"/>
    <w:rsid w:val="00016DC1"/>
    <w:rsid w:val="00017779"/>
    <w:rsid w:val="00027918"/>
    <w:rsid w:val="00040F70"/>
    <w:rsid w:val="00044E96"/>
    <w:rsid w:val="0005649D"/>
    <w:rsid w:val="00066FFC"/>
    <w:rsid w:val="000803A0"/>
    <w:rsid w:val="0008768A"/>
    <w:rsid w:val="000922C6"/>
    <w:rsid w:val="000A4E2F"/>
    <w:rsid w:val="000B2D5B"/>
    <w:rsid w:val="000C5403"/>
    <w:rsid w:val="000D270D"/>
    <w:rsid w:val="000D6242"/>
    <w:rsid w:val="000F46D4"/>
    <w:rsid w:val="00121484"/>
    <w:rsid w:val="00125193"/>
    <w:rsid w:val="001621AB"/>
    <w:rsid w:val="0016303D"/>
    <w:rsid w:val="00166511"/>
    <w:rsid w:val="00175D9D"/>
    <w:rsid w:val="00180779"/>
    <w:rsid w:val="001A3B17"/>
    <w:rsid w:val="001C70F8"/>
    <w:rsid w:val="001C7D19"/>
    <w:rsid w:val="001E1A1C"/>
    <w:rsid w:val="001E50BE"/>
    <w:rsid w:val="001E5985"/>
    <w:rsid w:val="002003A2"/>
    <w:rsid w:val="0020622B"/>
    <w:rsid w:val="00207293"/>
    <w:rsid w:val="002166FA"/>
    <w:rsid w:val="00223543"/>
    <w:rsid w:val="002549C8"/>
    <w:rsid w:val="00264E59"/>
    <w:rsid w:val="0027276F"/>
    <w:rsid w:val="00296629"/>
    <w:rsid w:val="00302713"/>
    <w:rsid w:val="00305CF2"/>
    <w:rsid w:val="00314D05"/>
    <w:rsid w:val="00337CEB"/>
    <w:rsid w:val="00354973"/>
    <w:rsid w:val="003611E9"/>
    <w:rsid w:val="00385D20"/>
    <w:rsid w:val="003A0083"/>
    <w:rsid w:val="003B0380"/>
    <w:rsid w:val="003C04E0"/>
    <w:rsid w:val="003F1792"/>
    <w:rsid w:val="00415BA3"/>
    <w:rsid w:val="00417943"/>
    <w:rsid w:val="00421745"/>
    <w:rsid w:val="0042699E"/>
    <w:rsid w:val="0043646F"/>
    <w:rsid w:val="004431FF"/>
    <w:rsid w:val="00452C78"/>
    <w:rsid w:val="0045318C"/>
    <w:rsid w:val="004771AF"/>
    <w:rsid w:val="00485ACA"/>
    <w:rsid w:val="004C6146"/>
    <w:rsid w:val="004D7A46"/>
    <w:rsid w:val="00507801"/>
    <w:rsid w:val="00525EC9"/>
    <w:rsid w:val="00536721"/>
    <w:rsid w:val="005522D5"/>
    <w:rsid w:val="005561F9"/>
    <w:rsid w:val="00556A24"/>
    <w:rsid w:val="005674B5"/>
    <w:rsid w:val="00593B05"/>
    <w:rsid w:val="005B70D6"/>
    <w:rsid w:val="005D52EB"/>
    <w:rsid w:val="005E4F9B"/>
    <w:rsid w:val="005E7A23"/>
    <w:rsid w:val="00630893"/>
    <w:rsid w:val="00631AC7"/>
    <w:rsid w:val="00653D3F"/>
    <w:rsid w:val="00655B21"/>
    <w:rsid w:val="0067074A"/>
    <w:rsid w:val="00670D4C"/>
    <w:rsid w:val="006829C3"/>
    <w:rsid w:val="006D122D"/>
    <w:rsid w:val="006D18EA"/>
    <w:rsid w:val="006D4AE6"/>
    <w:rsid w:val="006E5857"/>
    <w:rsid w:val="0071329A"/>
    <w:rsid w:val="00715E1E"/>
    <w:rsid w:val="0074672C"/>
    <w:rsid w:val="0075024F"/>
    <w:rsid w:val="00750BC5"/>
    <w:rsid w:val="00762724"/>
    <w:rsid w:val="0076554F"/>
    <w:rsid w:val="00767313"/>
    <w:rsid w:val="00783266"/>
    <w:rsid w:val="00791D01"/>
    <w:rsid w:val="007B17A1"/>
    <w:rsid w:val="007D36DE"/>
    <w:rsid w:val="00810075"/>
    <w:rsid w:val="00823948"/>
    <w:rsid w:val="00830EB9"/>
    <w:rsid w:val="00842135"/>
    <w:rsid w:val="00847FF0"/>
    <w:rsid w:val="0085269A"/>
    <w:rsid w:val="008543CC"/>
    <w:rsid w:val="008773A6"/>
    <w:rsid w:val="0089573E"/>
    <w:rsid w:val="008A0764"/>
    <w:rsid w:val="008A1790"/>
    <w:rsid w:val="008A5765"/>
    <w:rsid w:val="008B0AC7"/>
    <w:rsid w:val="008C2A25"/>
    <w:rsid w:val="008C4BE2"/>
    <w:rsid w:val="009010CD"/>
    <w:rsid w:val="009078B8"/>
    <w:rsid w:val="009115CB"/>
    <w:rsid w:val="00914B63"/>
    <w:rsid w:val="0092611D"/>
    <w:rsid w:val="0093232D"/>
    <w:rsid w:val="0093341E"/>
    <w:rsid w:val="00934947"/>
    <w:rsid w:val="00945D43"/>
    <w:rsid w:val="00947E84"/>
    <w:rsid w:val="009816CD"/>
    <w:rsid w:val="00983E7C"/>
    <w:rsid w:val="0098443D"/>
    <w:rsid w:val="009B308F"/>
    <w:rsid w:val="009E7A1A"/>
    <w:rsid w:val="00A05874"/>
    <w:rsid w:val="00A26ED4"/>
    <w:rsid w:val="00A70327"/>
    <w:rsid w:val="00A70BEF"/>
    <w:rsid w:val="00A75F8E"/>
    <w:rsid w:val="00A82A20"/>
    <w:rsid w:val="00A91EEA"/>
    <w:rsid w:val="00AA4C60"/>
    <w:rsid w:val="00AD5DD4"/>
    <w:rsid w:val="00AE042C"/>
    <w:rsid w:val="00AF5A3B"/>
    <w:rsid w:val="00AF64F3"/>
    <w:rsid w:val="00B03C9B"/>
    <w:rsid w:val="00B16C95"/>
    <w:rsid w:val="00B31EE5"/>
    <w:rsid w:val="00B414FF"/>
    <w:rsid w:val="00B5000D"/>
    <w:rsid w:val="00B53E92"/>
    <w:rsid w:val="00B624F2"/>
    <w:rsid w:val="00B70DB3"/>
    <w:rsid w:val="00BC1514"/>
    <w:rsid w:val="00BE53F9"/>
    <w:rsid w:val="00C14C4D"/>
    <w:rsid w:val="00C163F4"/>
    <w:rsid w:val="00C2618C"/>
    <w:rsid w:val="00C3396D"/>
    <w:rsid w:val="00C460A5"/>
    <w:rsid w:val="00C47D87"/>
    <w:rsid w:val="00C53575"/>
    <w:rsid w:val="00C80CBC"/>
    <w:rsid w:val="00C86688"/>
    <w:rsid w:val="00CB13E9"/>
    <w:rsid w:val="00CB4E32"/>
    <w:rsid w:val="00CB7D81"/>
    <w:rsid w:val="00CD44C1"/>
    <w:rsid w:val="00CE258A"/>
    <w:rsid w:val="00CF073E"/>
    <w:rsid w:val="00D14A23"/>
    <w:rsid w:val="00D16401"/>
    <w:rsid w:val="00D20926"/>
    <w:rsid w:val="00D40138"/>
    <w:rsid w:val="00D4598C"/>
    <w:rsid w:val="00D46EB3"/>
    <w:rsid w:val="00D47004"/>
    <w:rsid w:val="00D54F3C"/>
    <w:rsid w:val="00D62916"/>
    <w:rsid w:val="00D760EA"/>
    <w:rsid w:val="00D93AE2"/>
    <w:rsid w:val="00DA4D04"/>
    <w:rsid w:val="00DC4D27"/>
    <w:rsid w:val="00DC6A51"/>
    <w:rsid w:val="00DE24E5"/>
    <w:rsid w:val="00E019F0"/>
    <w:rsid w:val="00E0235E"/>
    <w:rsid w:val="00E11C32"/>
    <w:rsid w:val="00E24336"/>
    <w:rsid w:val="00E251E3"/>
    <w:rsid w:val="00E25605"/>
    <w:rsid w:val="00E3079C"/>
    <w:rsid w:val="00E36E4C"/>
    <w:rsid w:val="00E57C12"/>
    <w:rsid w:val="00E63153"/>
    <w:rsid w:val="00E64D6D"/>
    <w:rsid w:val="00E70052"/>
    <w:rsid w:val="00E80378"/>
    <w:rsid w:val="00E876A9"/>
    <w:rsid w:val="00E93739"/>
    <w:rsid w:val="00EB416B"/>
    <w:rsid w:val="00EC4B81"/>
    <w:rsid w:val="00ED0E80"/>
    <w:rsid w:val="00EE5131"/>
    <w:rsid w:val="00EE7DAC"/>
    <w:rsid w:val="00EF4838"/>
    <w:rsid w:val="00F34E4B"/>
    <w:rsid w:val="00F3700B"/>
    <w:rsid w:val="00F376A7"/>
    <w:rsid w:val="00F42EF9"/>
    <w:rsid w:val="00F4780A"/>
    <w:rsid w:val="00FB0489"/>
    <w:rsid w:val="00FD07F1"/>
    <w:rsid w:val="00FD5E3D"/>
    <w:rsid w:val="00FD6F4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vahnenk@usgs.gov" TargetMode="External"/><Relationship Id="rId18" Type="http://schemas.openxmlformats.org/officeDocument/2006/relationships/hyperlink" Target="http://water.usgs.gov/watuse/WU-Category-Changes.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mharris@usgs.gov" TargetMode="External"/><Relationship Id="rId17" Type="http://schemas.openxmlformats.org/officeDocument/2006/relationships/hyperlink" Target="mailto:kslinsey@usgs.gov" TargetMode="External"/><Relationship Id="rId2" Type="http://schemas.openxmlformats.org/officeDocument/2006/relationships/numbering" Target="numbering.xml"/><Relationship Id="rId16" Type="http://schemas.openxmlformats.org/officeDocument/2006/relationships/hyperlink" Target="mailto:jlovelac@usgs.gov" TargetMode="External"/><Relationship Id="rId20" Type="http://schemas.openxmlformats.org/officeDocument/2006/relationships/hyperlink" Target="http://water.usgs.gov/watuse/wutrend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dieter@usgs.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nlbarber@usgs.gov" TargetMode="External"/><Relationship Id="rId23" Type="http://schemas.openxmlformats.org/officeDocument/2006/relationships/fontTable" Target="fontTable.xml"/><Relationship Id="rId10" Type="http://schemas.openxmlformats.org/officeDocument/2006/relationships/hyperlink" Target="mailto:mamaupin@usgs.gov" TargetMode="External"/><Relationship Id="rId19" Type="http://schemas.openxmlformats.org/officeDocument/2006/relationships/hyperlink" Target="http://water.usgs.gov/watuse/wuto.html" TargetMode="External"/><Relationship Id="rId4" Type="http://schemas.microsoft.com/office/2007/relationships/stylesWithEffects" Target="stylesWithEffects.xml"/><Relationship Id="rId9" Type="http://schemas.openxmlformats.org/officeDocument/2006/relationships/hyperlink" Target="http://water.usgs.gov/watuse/50years.html" TargetMode="External"/><Relationship Id="rId14" Type="http://schemas.openxmlformats.org/officeDocument/2006/relationships/hyperlink" Target="mailto:caldwell@usgs.go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5B29-161F-4FC8-A393-D21A3151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1452</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10755</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Maupin, Molly A.</cp:lastModifiedBy>
  <cp:revision>8</cp:revision>
  <cp:lastPrinted>2010-08-13T18:27:00Z</cp:lastPrinted>
  <dcterms:created xsi:type="dcterms:W3CDTF">2016-10-06T21:17:00Z</dcterms:created>
  <dcterms:modified xsi:type="dcterms:W3CDTF">2016-10-12T22:31:00Z</dcterms:modified>
</cp:coreProperties>
</file>