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r w:rsidDel="00000000" w:rsidR="00000000" w:rsidRPr="00000000">
        <w:rPr>
          <w:rtl w:val="0"/>
        </w:rPr>
        <w:t xml:space="preserve">Estimated Budget for the Transboundary Aquifer Assessment Program FY 2018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The Water Science Centers in Arizona, New Mexico, and Texas request $500,953 to support the Transboundary Aquifer Assessment Program (TAAP). These funds will be used to pursue activities outlined in the TAAP 5-year Strategic Workplan, and a budget breakdown is provided in tables 1-4.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1. Arizona Water Science Center</w:t>
      </w:r>
    </w:p>
    <w:tbl>
      <w:tblPr>
        <w:tblStyle w:val="Table1"/>
        <w:tblW w:w="4005.0" w:type="dxa"/>
        <w:jc w:val="left"/>
        <w:tblInd w:w="2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5"/>
        <w:gridCol w:w="1930"/>
        <w:tblGridChange w:id="0">
          <w:tblGrid>
            <w:gridCol w:w="2075"/>
            <w:gridCol w:w="193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$129,666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Equipment/Supplies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$5,000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Contracts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$12,000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Publications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$10,000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$10,000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$166,666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2. New Mexico Water Science Center</w:t>
      </w:r>
    </w:p>
    <w:tbl>
      <w:tblPr>
        <w:tblStyle w:val="Table2"/>
        <w:tblW w:w="4005.0" w:type="dxa"/>
        <w:jc w:val="left"/>
        <w:tblInd w:w="2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5"/>
        <w:gridCol w:w="1930"/>
        <w:tblGridChange w:id="0">
          <w:tblGrid>
            <w:gridCol w:w="2075"/>
            <w:gridCol w:w="193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$98,838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Equipment/Supplies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$3,519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Contracts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$36,224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Publications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$29,040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$167,621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3. Texas Water Science Center</w:t>
      </w:r>
    </w:p>
    <w:tbl>
      <w:tblPr>
        <w:tblStyle w:val="Table3"/>
        <w:tblW w:w="4005.0" w:type="dxa"/>
        <w:jc w:val="left"/>
        <w:tblInd w:w="2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5"/>
        <w:gridCol w:w="1930"/>
        <w:tblGridChange w:id="0">
          <w:tblGrid>
            <w:gridCol w:w="2075"/>
            <w:gridCol w:w="193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$124,200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Equipment/Supplies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$1,121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Contracts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$2,739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Publications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$15600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$23,006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$166,666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8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4. All Centers Combined</w:t>
      </w:r>
    </w:p>
    <w:tbl>
      <w:tblPr>
        <w:tblStyle w:val="Table4"/>
        <w:tblW w:w="4005.0" w:type="dxa"/>
        <w:jc w:val="left"/>
        <w:tblInd w:w="2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5"/>
        <w:gridCol w:w="1930"/>
        <w:tblGridChange w:id="0">
          <w:tblGrid>
            <w:gridCol w:w="2075"/>
            <w:gridCol w:w="193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$352,704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Equipment/Supplies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$9,640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Contracts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$50,963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Publications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$25,600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Travel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$62,046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$500,953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