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C5EF7" w14:textId="77777777"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14:paraId="08D419C1" w14:textId="77777777" w:rsidR="00305CF2" w:rsidRPr="00EF4838" w:rsidRDefault="00305CF2" w:rsidP="00655B21">
      <w:pPr>
        <w:jc w:val="center"/>
        <w:rPr>
          <w:rFonts w:ascii="Arial" w:hAnsi="Arial" w:cs="Arial"/>
          <w:b/>
          <w:sz w:val="28"/>
          <w:szCs w:val="28"/>
        </w:rPr>
      </w:pPr>
      <w:r>
        <w:rPr>
          <w:rFonts w:ascii="Arial" w:hAnsi="Arial" w:cs="Arial"/>
          <w:b/>
          <w:sz w:val="28"/>
          <w:szCs w:val="28"/>
        </w:rPr>
        <w:t>Regional Groundwater Availability Projects</w:t>
      </w:r>
    </w:p>
    <w:p w14:paraId="4BECA36E" w14:textId="77777777" w:rsidR="00593B05" w:rsidRPr="00EF4838" w:rsidRDefault="0067074A" w:rsidP="00593B05">
      <w:pPr>
        <w:jc w:val="center"/>
        <w:rPr>
          <w:rFonts w:ascii="Arial" w:hAnsi="Arial" w:cs="Arial"/>
          <w:b/>
          <w:sz w:val="28"/>
          <w:szCs w:val="28"/>
        </w:rPr>
      </w:pPr>
      <w:r>
        <w:rPr>
          <w:rFonts w:ascii="Arial" w:hAnsi="Arial" w:cs="Arial"/>
          <w:b/>
          <w:sz w:val="28"/>
          <w:szCs w:val="28"/>
        </w:rPr>
        <w:t>FY 201</w:t>
      </w:r>
      <w:r w:rsidR="00D3724A">
        <w:rPr>
          <w:rFonts w:ascii="Arial" w:hAnsi="Arial" w:cs="Arial"/>
          <w:b/>
          <w:sz w:val="28"/>
          <w:szCs w:val="28"/>
        </w:rPr>
        <w:t>7</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Request</w:t>
      </w:r>
    </w:p>
    <w:p w14:paraId="50469424" w14:textId="77777777" w:rsidR="00593B05" w:rsidRDefault="00D3724A" w:rsidP="00593B05">
      <w:pPr>
        <w:jc w:val="center"/>
        <w:rPr>
          <w:rFonts w:ascii="Arial" w:hAnsi="Arial" w:cs="Arial"/>
          <w:b/>
          <w:sz w:val="28"/>
          <w:szCs w:val="28"/>
        </w:rPr>
      </w:pPr>
      <w:r>
        <w:rPr>
          <w:rFonts w:ascii="Arial" w:hAnsi="Arial" w:cs="Arial"/>
          <w:b/>
          <w:sz w:val="28"/>
          <w:szCs w:val="28"/>
        </w:rPr>
        <w:t>July 19, 2017</w:t>
      </w:r>
    </w:p>
    <w:p w14:paraId="09AD7379" w14:textId="5E33A952" w:rsidR="004756DC" w:rsidRPr="00F4780A" w:rsidRDefault="004756DC" w:rsidP="00593B05">
      <w:pPr>
        <w:jc w:val="center"/>
        <w:rPr>
          <w:rFonts w:ascii="Arial" w:hAnsi="Arial" w:cs="Arial"/>
          <w:b/>
          <w:sz w:val="28"/>
          <w:szCs w:val="28"/>
        </w:rPr>
      </w:pPr>
      <w:r>
        <w:rPr>
          <w:rFonts w:ascii="Arial" w:hAnsi="Arial" w:cs="Arial"/>
          <w:b/>
          <w:sz w:val="28"/>
          <w:szCs w:val="28"/>
        </w:rPr>
        <w:t>Ozark Plateaus Regional Aquifer Study</w:t>
      </w:r>
    </w:p>
    <w:p w14:paraId="75D5D8F3" w14:textId="77777777" w:rsidR="00630893" w:rsidRDefault="00630893" w:rsidP="005561F9">
      <w:pPr>
        <w:pStyle w:val="NormalWeb"/>
      </w:pPr>
    </w:p>
    <w:p w14:paraId="27F0EC39" w14:textId="77777777"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D3724A">
        <w:rPr>
          <w:rStyle w:val="Strong"/>
        </w:rPr>
        <w:t>7</w:t>
      </w:r>
      <w:r w:rsidR="00762724">
        <w:rPr>
          <w:rStyle w:val="Strong"/>
        </w:rPr>
        <w:t>)</w:t>
      </w:r>
    </w:p>
    <w:p w14:paraId="59C52DAD" w14:textId="77777777" w:rsidR="007356E6" w:rsidRDefault="007356E6" w:rsidP="003B59B0">
      <w:pPr>
        <w:pStyle w:val="NormalWeb"/>
        <w:spacing w:before="0" w:beforeAutospacing="0" w:after="0" w:afterAutospacing="0"/>
      </w:pPr>
    </w:p>
    <w:p w14:paraId="10C102AB" w14:textId="576939E1" w:rsidR="007356E6" w:rsidRPr="00E16ECC" w:rsidRDefault="001328C3" w:rsidP="007356E6">
      <w:pPr>
        <w:pStyle w:val="NormalWeb"/>
        <w:spacing w:after="0" w:afterAutospacing="0"/>
      </w:pPr>
      <w:r>
        <w:t>In</w:t>
      </w:r>
      <w:r w:rsidR="007356E6">
        <w:t xml:space="preserve"> FY17, the USGS </w:t>
      </w:r>
      <w:r>
        <w:t>released three</w:t>
      </w:r>
      <w:r w:rsidR="007356E6">
        <w:t xml:space="preserve"> interpretive </w:t>
      </w:r>
      <w:r>
        <w:t>reports focused on the</w:t>
      </w:r>
      <w:r w:rsidR="007356E6">
        <w:t xml:space="preserve"> Ozark </w:t>
      </w:r>
      <w:r>
        <w:t>Plateaus aquifer system</w:t>
      </w:r>
      <w:r w:rsidR="007356E6">
        <w:t>. These releases include:</w:t>
      </w:r>
    </w:p>
    <w:p w14:paraId="57900E32" w14:textId="2134E4E3" w:rsidR="007356E6" w:rsidRDefault="00956DA6" w:rsidP="007356E6">
      <w:pPr>
        <w:pStyle w:val="NormalWeb"/>
        <w:numPr>
          <w:ilvl w:val="0"/>
          <w:numId w:val="4"/>
        </w:numPr>
        <w:spacing w:before="0" w:beforeAutospacing="0"/>
      </w:pPr>
      <w:r>
        <w:t>SIR of aquifer framework</w:t>
      </w:r>
      <w:r w:rsidR="007356E6">
        <w:t>;</w:t>
      </w:r>
    </w:p>
    <w:p w14:paraId="053D8A5F" w14:textId="24F210F1" w:rsidR="00956DA6" w:rsidRDefault="00956DA6" w:rsidP="007356E6">
      <w:pPr>
        <w:pStyle w:val="NormalWeb"/>
        <w:numPr>
          <w:ilvl w:val="0"/>
          <w:numId w:val="4"/>
        </w:numPr>
      </w:pPr>
      <w:r>
        <w:t>SIR of hydrologic conditions</w:t>
      </w:r>
    </w:p>
    <w:p w14:paraId="4C7D7738" w14:textId="2E4FDAC7" w:rsidR="007356E6" w:rsidRDefault="00956DA6" w:rsidP="007356E6">
      <w:pPr>
        <w:pStyle w:val="NormalWeb"/>
        <w:numPr>
          <w:ilvl w:val="0"/>
          <w:numId w:val="4"/>
        </w:numPr>
      </w:pPr>
      <w:r>
        <w:t>Journal article of l</w:t>
      </w:r>
      <w:r w:rsidR="007356E6">
        <w:t>ong-term estimation of groundwater withdrawals for all major categories;</w:t>
      </w:r>
    </w:p>
    <w:p w14:paraId="11E4FEE7" w14:textId="28E84B71" w:rsidR="007356E6" w:rsidRDefault="007356E6" w:rsidP="007356E6">
      <w:pPr>
        <w:pStyle w:val="NormalWeb"/>
        <w:spacing w:before="0" w:beforeAutospacing="0" w:after="0" w:afterAutospacing="0"/>
      </w:pPr>
      <w:r>
        <w:t xml:space="preserve">Each </w:t>
      </w:r>
      <w:r w:rsidR="00956DA6">
        <w:t>report</w:t>
      </w:r>
      <w:r>
        <w:t xml:space="preserve"> provides information to further the overall objective to quantitatively assess the Ozark Plateaus groundwater system. The primary tool for this assessment is the development of a regional groundwater-flow model of the Ozark Plateaus, which is currently </w:t>
      </w:r>
      <w:r w:rsidR="00347645">
        <w:t>through peer review</w:t>
      </w:r>
      <w:r>
        <w:t xml:space="preserve">. The </w:t>
      </w:r>
      <w:r w:rsidR="00347645">
        <w:t xml:space="preserve">Scientific Investigations Report on the aquifer framework is the foundation of the groundwater-flow </w:t>
      </w:r>
      <w:r>
        <w:t>model.</w:t>
      </w:r>
      <w:r w:rsidR="00347645">
        <w:t xml:space="preserve"> Building on that foundation, the Scientific Investigations Report of hydrologic conditions provide a compilation of aquifer properties that are used as the initial values in the groundwater-flow model. Additionally, the hydrologic conditions report documents estimates of recharge, pumping, and discharge to streams that</w:t>
      </w:r>
      <w:r w:rsidR="003B59B0">
        <w:t xml:space="preserve"> are directly comparable to</w:t>
      </w:r>
      <w:r w:rsidR="00347645">
        <w:t xml:space="preserve"> recent simulated values. The long-term estimation of groundwater withdrawals provide</w:t>
      </w:r>
      <w:r w:rsidR="003B59B0">
        <w:t>s</w:t>
      </w:r>
      <w:r w:rsidR="00347645">
        <w:t xml:space="preserve"> the human-induced stress on the system from 1900 to 2015, used in the model.</w:t>
      </w:r>
    </w:p>
    <w:p w14:paraId="23C11E84" w14:textId="7506B2A7" w:rsidR="00746E2E" w:rsidRDefault="00746E2E" w:rsidP="00746E2E">
      <w:pPr>
        <w:pStyle w:val="NormalWeb"/>
        <w:spacing w:before="0" w:beforeAutospacing="0" w:after="0" w:afterAutospacing="0"/>
        <w:ind w:firstLine="720"/>
      </w:pPr>
      <w:r>
        <w:t>The model itself is being used to quantify uncertainty of the various inputs and how those uncertainties affect forecasts of interest, such as projected water levels in select locations. The tools utilized for this are relatively new in that they combine sets of previously existing tools, and provid</w:t>
      </w:r>
      <w:r w:rsidR="00C722AD">
        <w:t>e improvements in evaluation of model results.</w:t>
      </w:r>
    </w:p>
    <w:p w14:paraId="1913AD6D" w14:textId="77777777" w:rsidR="007356E6" w:rsidRDefault="007356E6" w:rsidP="007356E6">
      <w:pPr>
        <w:pStyle w:val="NormalWeb"/>
        <w:spacing w:before="0" w:beforeAutospacing="0" w:after="0" w:afterAutospacing="0"/>
      </w:pPr>
    </w:p>
    <w:p w14:paraId="06298F2A" w14:textId="77777777" w:rsidR="007356E6" w:rsidRDefault="007356E6" w:rsidP="007356E6">
      <w:pPr>
        <w:pStyle w:val="NormalWeb"/>
        <w:spacing w:before="0" w:beforeAutospacing="0" w:after="0" w:afterAutospacing="0"/>
      </w:pPr>
    </w:p>
    <w:p w14:paraId="7DB9AE55" w14:textId="77777777" w:rsidR="00507801" w:rsidRDefault="00D54F3C" w:rsidP="00630893">
      <w:pPr>
        <w:pStyle w:val="NormalWeb"/>
        <w:spacing w:after="0" w:afterAutospacing="0"/>
        <w:rPr>
          <w:rStyle w:val="Strong"/>
        </w:rPr>
      </w:pPr>
      <w:r>
        <w:rPr>
          <w:rStyle w:val="Strong"/>
        </w:rPr>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D3724A">
        <w:rPr>
          <w:rStyle w:val="Strong"/>
        </w:rPr>
        <w:t>8</w:t>
      </w:r>
    </w:p>
    <w:p w14:paraId="5965E406" w14:textId="77777777" w:rsidR="00BC7DCC" w:rsidRDefault="00BC7DCC" w:rsidP="00BC7DCC">
      <w:pPr>
        <w:autoSpaceDE w:val="0"/>
        <w:autoSpaceDN w:val="0"/>
        <w:adjustRightInd w:val="0"/>
        <w:spacing w:line="240" w:lineRule="atLeast"/>
        <w:rPr>
          <w:rFonts w:ascii="Arial" w:hAnsi="Arial" w:cs="Arial"/>
        </w:rPr>
      </w:pPr>
    </w:p>
    <w:p w14:paraId="34E991FF" w14:textId="77777777" w:rsidR="00BC7DCC" w:rsidRDefault="00BC7DCC" w:rsidP="00BC7DCC">
      <w:pPr>
        <w:pStyle w:val="NormalWeb"/>
        <w:spacing w:before="0" w:beforeAutospacing="0" w:after="0" w:afterAutospacing="0"/>
      </w:pPr>
      <w:r w:rsidRPr="00187D7C">
        <w:rPr>
          <w:b/>
        </w:rPr>
        <w:t>Objectives</w:t>
      </w:r>
      <w:r>
        <w:t>: The objectives of the study in FY18 consist of:</w:t>
      </w:r>
    </w:p>
    <w:p w14:paraId="7F92B8FA" w14:textId="77777777" w:rsidR="00BC7DCC" w:rsidRDefault="00BC7DCC" w:rsidP="00BC7DCC">
      <w:pPr>
        <w:pStyle w:val="NormalWeb"/>
        <w:numPr>
          <w:ilvl w:val="0"/>
          <w:numId w:val="21"/>
        </w:numPr>
        <w:spacing w:before="0" w:beforeAutospacing="0" w:after="0" w:afterAutospacing="0"/>
      </w:pPr>
      <w:r>
        <w:t>Completion of a transient numerical model</w:t>
      </w:r>
    </w:p>
    <w:p w14:paraId="3ACF4AC1" w14:textId="77777777" w:rsidR="00BC7DCC" w:rsidRDefault="00BC7DCC" w:rsidP="00BC7DCC">
      <w:pPr>
        <w:pStyle w:val="NormalWeb"/>
        <w:numPr>
          <w:ilvl w:val="1"/>
          <w:numId w:val="21"/>
        </w:numPr>
        <w:spacing w:before="0" w:beforeAutospacing="0" w:after="0" w:afterAutospacing="0"/>
      </w:pPr>
      <w:r>
        <w:t>Refinement of history matching</w:t>
      </w:r>
    </w:p>
    <w:p w14:paraId="3D739260" w14:textId="77777777" w:rsidR="00BC7DCC" w:rsidRDefault="00BC7DCC" w:rsidP="00BC7DCC">
      <w:pPr>
        <w:pStyle w:val="NormalWeb"/>
        <w:numPr>
          <w:ilvl w:val="1"/>
          <w:numId w:val="21"/>
        </w:numPr>
        <w:spacing w:before="0" w:beforeAutospacing="0" w:after="0" w:afterAutospacing="0"/>
      </w:pPr>
      <w:r>
        <w:t>Final parameter identifiability</w:t>
      </w:r>
    </w:p>
    <w:p w14:paraId="15C33290" w14:textId="7A8E127B" w:rsidR="00BC7DCC" w:rsidRDefault="00BC7DCC" w:rsidP="00BC7DCC">
      <w:pPr>
        <w:pStyle w:val="NormalWeb"/>
        <w:numPr>
          <w:ilvl w:val="1"/>
          <w:numId w:val="21"/>
        </w:numPr>
        <w:spacing w:before="0" w:beforeAutospacing="0" w:after="0" w:afterAutospacing="0"/>
      </w:pPr>
      <w:r>
        <w:t>Publication of model documentation (</w:t>
      </w:r>
      <w:r w:rsidR="005F2D10">
        <w:t xml:space="preserve">currently </w:t>
      </w:r>
      <w:r>
        <w:t>post-peer review)</w:t>
      </w:r>
    </w:p>
    <w:p w14:paraId="7C776EF0" w14:textId="3767EC86" w:rsidR="00BC7DCC" w:rsidRDefault="00BC7DCC" w:rsidP="00BC7DCC">
      <w:pPr>
        <w:pStyle w:val="NormalWeb"/>
        <w:numPr>
          <w:ilvl w:val="1"/>
          <w:numId w:val="21"/>
        </w:numPr>
        <w:spacing w:before="0" w:beforeAutospacing="0" w:after="0" w:afterAutospacing="0"/>
      </w:pPr>
      <w:r>
        <w:lastRenderedPageBreak/>
        <w:t>Model archive data release (</w:t>
      </w:r>
      <w:r w:rsidR="005F2D10">
        <w:t xml:space="preserve">currently </w:t>
      </w:r>
      <w:bookmarkStart w:id="0" w:name="_GoBack"/>
      <w:bookmarkEnd w:id="0"/>
      <w:r>
        <w:t>post-peer review)</w:t>
      </w:r>
    </w:p>
    <w:p w14:paraId="59925CD7" w14:textId="5763783F" w:rsidR="00BC7DCC" w:rsidRDefault="007356E6" w:rsidP="00BC7DCC">
      <w:pPr>
        <w:pStyle w:val="NormalWeb"/>
        <w:numPr>
          <w:ilvl w:val="0"/>
          <w:numId w:val="21"/>
        </w:numPr>
        <w:spacing w:before="0" w:beforeAutospacing="0" w:after="0" w:afterAutospacing="0"/>
      </w:pPr>
      <w:r>
        <w:t>Complete</w:t>
      </w:r>
      <w:r w:rsidR="00BC7DCC">
        <w:t xml:space="preserve"> documentation of final report – Groundwater availability of the Ozark system</w:t>
      </w:r>
    </w:p>
    <w:p w14:paraId="5F008297" w14:textId="77777777" w:rsidR="00BC7DCC" w:rsidRDefault="00BC7DCC" w:rsidP="00BC7DCC">
      <w:pPr>
        <w:pStyle w:val="NormalWeb"/>
        <w:numPr>
          <w:ilvl w:val="1"/>
          <w:numId w:val="21"/>
        </w:numPr>
        <w:spacing w:before="0" w:beforeAutospacing="0" w:after="0" w:afterAutospacing="0"/>
      </w:pPr>
      <w:r>
        <w:t>Simulations of pumping and climate scenarios</w:t>
      </w:r>
    </w:p>
    <w:p w14:paraId="319EB692" w14:textId="77777777" w:rsidR="00BC7DCC" w:rsidRDefault="00BC7DCC" w:rsidP="00BC7DCC">
      <w:pPr>
        <w:pStyle w:val="NormalWeb"/>
        <w:numPr>
          <w:ilvl w:val="1"/>
          <w:numId w:val="21"/>
        </w:numPr>
        <w:spacing w:before="0" w:beforeAutospacing="0" w:after="0" w:afterAutospacing="0"/>
      </w:pPr>
      <w:r>
        <w:t>Evaluation of high salinity water movement</w:t>
      </w:r>
    </w:p>
    <w:p w14:paraId="30CEBF1B" w14:textId="7EFC3E8D" w:rsidR="00BC7DCC" w:rsidRDefault="00BC7DCC" w:rsidP="00BC7DCC">
      <w:pPr>
        <w:pStyle w:val="NormalWeb"/>
        <w:numPr>
          <w:ilvl w:val="1"/>
          <w:numId w:val="21"/>
        </w:numPr>
        <w:spacing w:before="0" w:beforeAutospacing="0" w:after="0" w:afterAutospacing="0"/>
      </w:pPr>
      <w:r>
        <w:t>Data worth analysis</w:t>
      </w:r>
      <w:r w:rsidR="003B59B0">
        <w:t>/ forecast uncertainty</w:t>
      </w:r>
    </w:p>
    <w:p w14:paraId="34A0F059" w14:textId="1D3163B2" w:rsidR="003B59B0" w:rsidRDefault="003B59B0" w:rsidP="003B59B0">
      <w:pPr>
        <w:pStyle w:val="NormalWeb"/>
        <w:numPr>
          <w:ilvl w:val="0"/>
          <w:numId w:val="21"/>
        </w:numPr>
        <w:spacing w:before="0" w:beforeAutospacing="0" w:after="0" w:afterAutospacing="0"/>
      </w:pPr>
      <w:r>
        <w:t>Complete fact sheet summarizing study findings</w:t>
      </w:r>
    </w:p>
    <w:p w14:paraId="06862DE7" w14:textId="77777777" w:rsidR="00BC7DCC" w:rsidRDefault="00BC7DCC" w:rsidP="00BC7DCC">
      <w:pPr>
        <w:pStyle w:val="NormalWeb"/>
        <w:numPr>
          <w:ilvl w:val="0"/>
          <w:numId w:val="21"/>
        </w:numPr>
        <w:spacing w:before="0" w:beforeAutospacing="0" w:after="0" w:afterAutospacing="0"/>
      </w:pPr>
      <w:r>
        <w:t>Project web page maintenance</w:t>
      </w:r>
    </w:p>
    <w:p w14:paraId="649BA825" w14:textId="77777777" w:rsidR="00BC7DCC" w:rsidRDefault="00BC7DCC" w:rsidP="00BC7DCC">
      <w:pPr>
        <w:pStyle w:val="NormalWeb"/>
        <w:numPr>
          <w:ilvl w:val="0"/>
          <w:numId w:val="21"/>
        </w:numPr>
        <w:spacing w:before="0" w:beforeAutospacing="0" w:after="0" w:afterAutospacing="0"/>
      </w:pPr>
      <w:r>
        <w:t>Project communication (pertinent conferences and meetings)</w:t>
      </w:r>
    </w:p>
    <w:p w14:paraId="428E7A3E" w14:textId="77777777" w:rsidR="00BC7DCC" w:rsidRDefault="00BC7DCC" w:rsidP="00BC7DCC">
      <w:pPr>
        <w:pStyle w:val="NormalWeb"/>
        <w:spacing w:before="0" w:beforeAutospacing="0" w:after="0" w:afterAutospacing="0"/>
        <w:ind w:left="1080"/>
      </w:pPr>
    </w:p>
    <w:p w14:paraId="6EF47E74" w14:textId="77777777" w:rsidR="00BC7DCC" w:rsidRDefault="00BC7DCC" w:rsidP="00BC7DCC">
      <w:pPr>
        <w:autoSpaceDE w:val="0"/>
        <w:autoSpaceDN w:val="0"/>
        <w:adjustRightInd w:val="0"/>
        <w:spacing w:line="240" w:lineRule="atLeast"/>
        <w:rPr>
          <w:rFonts w:ascii="Arial" w:hAnsi="Arial" w:cs="Arial"/>
        </w:rPr>
      </w:pPr>
    </w:p>
    <w:p w14:paraId="34A4117E" w14:textId="253DFF13" w:rsidR="00BC7DCC" w:rsidRDefault="00BC7DCC" w:rsidP="00BC7DCC">
      <w:pPr>
        <w:autoSpaceDE w:val="0"/>
        <w:autoSpaceDN w:val="0"/>
        <w:adjustRightInd w:val="0"/>
        <w:spacing w:line="240" w:lineRule="atLeast"/>
        <w:rPr>
          <w:rFonts w:ascii="Arial" w:hAnsi="Arial" w:cs="Arial"/>
        </w:rPr>
      </w:pPr>
      <w:r w:rsidRPr="00D53C89">
        <w:rPr>
          <w:rFonts w:ascii="Arial" w:hAnsi="Arial" w:cs="Arial"/>
          <w:b/>
        </w:rPr>
        <w:t>Budget</w:t>
      </w:r>
      <w:r>
        <w:rPr>
          <w:rFonts w:ascii="Arial" w:hAnsi="Arial" w:cs="Arial"/>
        </w:rPr>
        <w:t>:</w:t>
      </w:r>
      <w:r w:rsidR="00721D91">
        <w:rPr>
          <w:rFonts w:ascii="Arial" w:hAnsi="Arial" w:cs="Arial"/>
        </w:rPr>
        <w:t xml:space="preserve"> The budget presented below is for consideration of additional funds to complete the final report and factsheet. The original scope of funds end at FY17, though the LMGWSC is devoted to completion of the final reports, regardless of </w:t>
      </w:r>
      <w:r w:rsidR="00682ABC">
        <w:rPr>
          <w:rFonts w:ascii="Arial" w:hAnsi="Arial" w:cs="Arial"/>
        </w:rPr>
        <w:t>funds to assist in the overage into FY18.</w:t>
      </w:r>
    </w:p>
    <w:p w14:paraId="7B609657" w14:textId="77777777" w:rsidR="008C465C" w:rsidRDefault="008C465C" w:rsidP="00BC7DCC">
      <w:pPr>
        <w:autoSpaceDE w:val="0"/>
        <w:autoSpaceDN w:val="0"/>
        <w:adjustRightInd w:val="0"/>
        <w:spacing w:line="240" w:lineRule="atLeast"/>
        <w:rPr>
          <w:rFonts w:ascii="Arial" w:hAnsi="Arial" w:cs="Arial"/>
        </w:rPr>
      </w:pPr>
    </w:p>
    <w:tbl>
      <w:tblPr>
        <w:tblStyle w:val="TableGrid"/>
        <w:tblW w:w="0" w:type="auto"/>
        <w:tblLook w:val="04A0" w:firstRow="1" w:lastRow="0" w:firstColumn="1" w:lastColumn="0" w:noHBand="0" w:noVBand="1"/>
      </w:tblPr>
      <w:tblGrid>
        <w:gridCol w:w="4428"/>
        <w:gridCol w:w="4428"/>
      </w:tblGrid>
      <w:tr w:rsidR="00BC7DCC" w14:paraId="6C100B41" w14:textId="77777777" w:rsidTr="007356E6">
        <w:tc>
          <w:tcPr>
            <w:tcW w:w="4428" w:type="dxa"/>
          </w:tcPr>
          <w:p w14:paraId="798F32E1" w14:textId="683D4C19" w:rsidR="00BC7DCC" w:rsidRDefault="001E612C" w:rsidP="007356E6">
            <w:pPr>
              <w:autoSpaceDE w:val="0"/>
              <w:autoSpaceDN w:val="0"/>
              <w:adjustRightInd w:val="0"/>
              <w:spacing w:line="240" w:lineRule="atLeast"/>
              <w:rPr>
                <w:rFonts w:ascii="Arial" w:hAnsi="Arial" w:cs="Arial"/>
                <w:color w:val="000000"/>
              </w:rPr>
            </w:pPr>
            <w:r>
              <w:rPr>
                <w:rFonts w:ascii="Arial" w:hAnsi="Arial" w:cs="Arial"/>
                <w:color w:val="000000"/>
              </w:rPr>
              <w:t>LMGWSC staff</w:t>
            </w:r>
          </w:p>
          <w:p w14:paraId="153FD13D" w14:textId="4EE58FDC" w:rsidR="001E612C" w:rsidRPr="002559A3" w:rsidRDefault="001E612C" w:rsidP="007356E6">
            <w:pPr>
              <w:autoSpaceDE w:val="0"/>
              <w:autoSpaceDN w:val="0"/>
              <w:adjustRightInd w:val="0"/>
              <w:spacing w:line="240" w:lineRule="atLeast"/>
              <w:rPr>
                <w:rFonts w:ascii="Arial" w:hAnsi="Arial" w:cs="Arial"/>
                <w:color w:val="000000"/>
                <w:sz w:val="20"/>
                <w:szCs w:val="20"/>
              </w:rPr>
            </w:pPr>
            <w:r w:rsidRPr="002559A3">
              <w:rPr>
                <w:rFonts w:ascii="Arial" w:hAnsi="Arial" w:cs="Arial"/>
                <w:color w:val="000000"/>
                <w:sz w:val="20"/>
                <w:szCs w:val="20"/>
              </w:rPr>
              <w:t>(approx. 25% Leslie Duncan and 30% Brian Clark)</w:t>
            </w:r>
          </w:p>
        </w:tc>
        <w:tc>
          <w:tcPr>
            <w:tcW w:w="4428" w:type="dxa"/>
          </w:tcPr>
          <w:p w14:paraId="4C4AC90E" w14:textId="00A0C9E2" w:rsidR="00BC7DCC" w:rsidRDefault="008C465C" w:rsidP="00BC7DCC">
            <w:pPr>
              <w:autoSpaceDE w:val="0"/>
              <w:autoSpaceDN w:val="0"/>
              <w:adjustRightInd w:val="0"/>
              <w:spacing w:line="240" w:lineRule="atLeast"/>
              <w:rPr>
                <w:rFonts w:ascii="Arial" w:hAnsi="Arial" w:cs="Arial"/>
                <w:color w:val="000000"/>
              </w:rPr>
            </w:pPr>
            <w:r>
              <w:rPr>
                <w:rFonts w:ascii="Arial" w:hAnsi="Arial" w:cs="Arial"/>
                <w:color w:val="000000"/>
              </w:rPr>
              <w:t>$8</w:t>
            </w:r>
            <w:r w:rsidR="00EB74BF">
              <w:rPr>
                <w:rFonts w:ascii="Arial" w:hAnsi="Arial" w:cs="Arial"/>
                <w:color w:val="000000"/>
              </w:rPr>
              <w:t>5</w:t>
            </w:r>
            <w:r w:rsidR="00BC7DCC">
              <w:rPr>
                <w:rFonts w:ascii="Arial" w:hAnsi="Arial" w:cs="Arial"/>
                <w:color w:val="000000"/>
              </w:rPr>
              <w:t>,000</w:t>
            </w:r>
          </w:p>
        </w:tc>
      </w:tr>
      <w:tr w:rsidR="001E612C" w14:paraId="5195DED6" w14:textId="77777777" w:rsidTr="007356E6">
        <w:tc>
          <w:tcPr>
            <w:tcW w:w="4428" w:type="dxa"/>
          </w:tcPr>
          <w:p w14:paraId="7E6A08C6" w14:textId="26258247" w:rsidR="001E612C" w:rsidRDefault="001E612C" w:rsidP="007356E6">
            <w:pPr>
              <w:autoSpaceDE w:val="0"/>
              <w:autoSpaceDN w:val="0"/>
              <w:adjustRightInd w:val="0"/>
              <w:spacing w:line="240" w:lineRule="atLeast"/>
              <w:rPr>
                <w:rFonts w:ascii="Arial" w:hAnsi="Arial" w:cs="Arial"/>
                <w:color w:val="000000"/>
              </w:rPr>
            </w:pPr>
            <w:r>
              <w:rPr>
                <w:rFonts w:ascii="Arial" w:hAnsi="Arial" w:cs="Arial"/>
                <w:color w:val="000000"/>
              </w:rPr>
              <w:t>Printing</w:t>
            </w:r>
          </w:p>
        </w:tc>
        <w:tc>
          <w:tcPr>
            <w:tcW w:w="4428" w:type="dxa"/>
          </w:tcPr>
          <w:p w14:paraId="44DF9CF9" w14:textId="08039EC2" w:rsidR="001E612C" w:rsidRDefault="001E612C" w:rsidP="007356E6">
            <w:pPr>
              <w:autoSpaceDE w:val="0"/>
              <w:autoSpaceDN w:val="0"/>
              <w:adjustRightInd w:val="0"/>
              <w:spacing w:line="240" w:lineRule="atLeast"/>
              <w:rPr>
                <w:rFonts w:ascii="Arial" w:hAnsi="Arial" w:cs="Arial"/>
                <w:color w:val="000000"/>
              </w:rPr>
            </w:pPr>
            <w:r>
              <w:rPr>
                <w:rFonts w:ascii="Arial" w:hAnsi="Arial" w:cs="Arial"/>
                <w:color w:val="000000"/>
              </w:rPr>
              <w:t>$10,000</w:t>
            </w:r>
          </w:p>
        </w:tc>
      </w:tr>
      <w:tr w:rsidR="00BC7DCC" w14:paraId="336E0F8B" w14:textId="77777777" w:rsidTr="007356E6">
        <w:tc>
          <w:tcPr>
            <w:tcW w:w="4428" w:type="dxa"/>
          </w:tcPr>
          <w:p w14:paraId="3E8CAF67" w14:textId="77777777" w:rsidR="00BC7DCC" w:rsidRDefault="00BC7DCC" w:rsidP="007356E6">
            <w:pPr>
              <w:autoSpaceDE w:val="0"/>
              <w:autoSpaceDN w:val="0"/>
              <w:adjustRightInd w:val="0"/>
              <w:spacing w:line="240" w:lineRule="atLeast"/>
              <w:rPr>
                <w:rFonts w:ascii="Arial" w:hAnsi="Arial" w:cs="Arial"/>
                <w:color w:val="000000"/>
              </w:rPr>
            </w:pPr>
            <w:r>
              <w:rPr>
                <w:rFonts w:ascii="Arial" w:hAnsi="Arial" w:cs="Arial"/>
                <w:color w:val="000000"/>
              </w:rPr>
              <w:t>Total</w:t>
            </w:r>
          </w:p>
        </w:tc>
        <w:tc>
          <w:tcPr>
            <w:tcW w:w="4428" w:type="dxa"/>
          </w:tcPr>
          <w:p w14:paraId="3631E6BF" w14:textId="07DF015F" w:rsidR="00BC7DCC" w:rsidRDefault="001E612C" w:rsidP="007356E6">
            <w:pPr>
              <w:autoSpaceDE w:val="0"/>
              <w:autoSpaceDN w:val="0"/>
              <w:adjustRightInd w:val="0"/>
              <w:spacing w:line="240" w:lineRule="atLeast"/>
              <w:rPr>
                <w:rFonts w:ascii="Arial" w:hAnsi="Arial" w:cs="Arial"/>
                <w:color w:val="000000"/>
              </w:rPr>
            </w:pPr>
            <w:r>
              <w:rPr>
                <w:rFonts w:ascii="Arial" w:hAnsi="Arial" w:cs="Arial"/>
                <w:color w:val="000000"/>
              </w:rPr>
              <w:t>$9</w:t>
            </w:r>
            <w:r w:rsidR="00EB74BF">
              <w:rPr>
                <w:rFonts w:ascii="Arial" w:hAnsi="Arial" w:cs="Arial"/>
                <w:color w:val="000000"/>
              </w:rPr>
              <w:t>5</w:t>
            </w:r>
            <w:r w:rsidR="00BC7DCC">
              <w:rPr>
                <w:rFonts w:ascii="Arial" w:hAnsi="Arial" w:cs="Arial"/>
                <w:color w:val="000000"/>
              </w:rPr>
              <w:t>,000</w:t>
            </w:r>
          </w:p>
        </w:tc>
      </w:tr>
    </w:tbl>
    <w:p w14:paraId="20571F64" w14:textId="77777777" w:rsidR="00BC7DCC" w:rsidRPr="005522D5" w:rsidRDefault="00BC7DCC" w:rsidP="00BC7DCC">
      <w:pPr>
        <w:autoSpaceDE w:val="0"/>
        <w:autoSpaceDN w:val="0"/>
        <w:adjustRightInd w:val="0"/>
        <w:spacing w:line="240" w:lineRule="atLeast"/>
        <w:rPr>
          <w:rFonts w:ascii="Arial" w:hAnsi="Arial" w:cs="Arial"/>
          <w:color w:val="000000"/>
        </w:rPr>
      </w:pPr>
    </w:p>
    <w:p w14:paraId="495BF547" w14:textId="77777777" w:rsidR="000C5403" w:rsidRDefault="000C5403" w:rsidP="00630893">
      <w:pPr>
        <w:pStyle w:val="NormalWeb"/>
        <w:spacing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14:paraId="73C0A98F" w14:textId="27C0307A" w:rsidR="00CC0815" w:rsidRDefault="00CC0815" w:rsidP="00CC0815">
      <w:pPr>
        <w:pStyle w:val="NormalWeb"/>
      </w:pPr>
      <w:r w:rsidRPr="00CC0815">
        <w:t xml:space="preserve">Tri-State Water Coalition Board of Directors meeting, </w:t>
      </w:r>
      <w:r>
        <w:t>August, 2017</w:t>
      </w:r>
      <w:r w:rsidRPr="00CC0815">
        <w:t xml:space="preserve">, Presented </w:t>
      </w:r>
      <w:r>
        <w:t xml:space="preserve">finding from recently published journal article on water use in the Ozarks and </w:t>
      </w:r>
      <w:r w:rsidRPr="00CC0815">
        <w:t xml:space="preserve">update of the Ozark groundwater availability </w:t>
      </w:r>
      <w:r w:rsidR="005570B9">
        <w:t>study</w:t>
      </w:r>
    </w:p>
    <w:p w14:paraId="3673422D" w14:textId="3BB1BEE2" w:rsidR="002B2B46" w:rsidRDefault="00A97D7E" w:rsidP="00CC0815">
      <w:pPr>
        <w:pStyle w:val="NormalWeb"/>
      </w:pPr>
      <w:r>
        <w:t>Annual Watersheds and Research Conference, Arkansas Water Resources Center, July 25-26, 2017, Fayetteville, AR</w:t>
      </w:r>
    </w:p>
    <w:p w14:paraId="334189E2" w14:textId="5C2EB3DE" w:rsidR="00203A60" w:rsidRDefault="00203A60" w:rsidP="00CC0815">
      <w:pPr>
        <w:pStyle w:val="NormalWeb"/>
      </w:pPr>
      <w:r>
        <w:t>AASG 2017, Association of American State Geologists, June, 2017. Presented overview of the Ozark groundwater availability study</w:t>
      </w:r>
    </w:p>
    <w:p w14:paraId="2BB86606" w14:textId="69664633" w:rsidR="00203A60" w:rsidRDefault="00B73D6A" w:rsidP="00CC0815">
      <w:pPr>
        <w:pStyle w:val="NormalWeb"/>
      </w:pPr>
      <w:r>
        <w:t>2017 MWRC, Mississippi Water Resources Conference, April, 2017. Guest speaker during luncheon session, provided overview of regional modeling efforts that included the Ozark, Mississippi Alluvial Plain, and the Coastal Lowlands</w:t>
      </w:r>
    </w:p>
    <w:p w14:paraId="2802F1F8" w14:textId="23757ED7" w:rsidR="00BB10AD" w:rsidRPr="00BB10AD" w:rsidRDefault="00BB10AD" w:rsidP="00BB10AD">
      <w:pPr>
        <w:pStyle w:val="NormalWeb"/>
      </w:pPr>
      <w:r w:rsidRPr="00BB10AD">
        <w:t xml:space="preserve">Tri-State board meeting, November 16, 2017; </w:t>
      </w:r>
      <w:r>
        <w:t>presented</w:t>
      </w:r>
      <w:r w:rsidRPr="00BB10AD">
        <w:t xml:space="preserve"> </w:t>
      </w:r>
      <w:r>
        <w:t xml:space="preserve">on </w:t>
      </w:r>
      <w:r w:rsidRPr="00BB10AD">
        <w:t>Assessing the Groun</w:t>
      </w:r>
      <w:r>
        <w:t xml:space="preserve">dwater Availability </w:t>
      </w:r>
      <w:r w:rsidRPr="00BB10AD">
        <w:t>of the Oza</w:t>
      </w:r>
      <w:r>
        <w:t>rk Plateaus aquifer system</w:t>
      </w:r>
    </w:p>
    <w:p w14:paraId="140988D8" w14:textId="7BBE97D7" w:rsidR="00BB10AD" w:rsidRPr="00BB10AD" w:rsidRDefault="00BB10AD" w:rsidP="00BB10AD">
      <w:pPr>
        <w:pStyle w:val="NormalWeb"/>
      </w:pPr>
      <w:r>
        <w:t xml:space="preserve">Tri-State Water Conference, </w:t>
      </w:r>
      <w:r w:rsidRPr="00BB10AD">
        <w:t>October 20-21, 2017</w:t>
      </w:r>
      <w:r>
        <w:t>; Springfield, MO</w:t>
      </w:r>
      <w:r w:rsidR="005570B9">
        <w:t>, Project status</w:t>
      </w:r>
    </w:p>
    <w:p w14:paraId="065B6CAB" w14:textId="0F72A991" w:rsidR="00CC0815" w:rsidRPr="00630893" w:rsidRDefault="00BB10AD" w:rsidP="000C5403">
      <w:pPr>
        <w:pStyle w:val="NormalWeb"/>
      </w:pPr>
      <w:r w:rsidRPr="00BB10AD">
        <w:lastRenderedPageBreak/>
        <w:t>Missouri Dept of Natural Resources</w:t>
      </w:r>
      <w:r>
        <w:t xml:space="preserve">, October 17, 2017, presented on </w:t>
      </w:r>
      <w:r w:rsidRPr="00BB10AD">
        <w:t>Assessing the Groundwater Availability and Quality of the</w:t>
      </w:r>
      <w:r>
        <w:t xml:space="preserve"> Ozark Plateaus Aquifer System</w:t>
      </w:r>
    </w:p>
    <w:p w14:paraId="6E922E0D" w14:textId="77777777" w:rsidR="00630893" w:rsidRDefault="000D6242" w:rsidP="00630893">
      <w:pPr>
        <w:pStyle w:val="NormalWeb"/>
        <w:spacing w:after="0" w:afterAutospacing="0"/>
        <w:rPr>
          <w:rStyle w:val="Strong"/>
        </w:rPr>
      </w:pPr>
      <w:r>
        <w:rPr>
          <w:rStyle w:val="Strong"/>
        </w:rPr>
        <w:t xml:space="preserve">(4) </w:t>
      </w:r>
      <w:r w:rsidRPr="000D6242">
        <w:rPr>
          <w:b/>
        </w:rPr>
        <w:t>Report Products, Bibliographic Update, Data Releases, and Groundwater-Model Archives</w:t>
      </w:r>
    </w:p>
    <w:p w14:paraId="09940C8B" w14:textId="3B93DA51" w:rsidR="00507DA5" w:rsidRDefault="00507DA5" w:rsidP="00507DA5">
      <w:pPr>
        <w:pStyle w:val="NormalWeb"/>
        <w:spacing w:before="0" w:beforeAutospacing="0"/>
      </w:pPr>
      <w:r>
        <w:t xml:space="preserve">Products (recently added to </w:t>
      </w:r>
      <w:hyperlink r:id="rId9" w:history="1">
        <w:r w:rsidR="000A4E2F" w:rsidRPr="004F3198">
          <w:rPr>
            <w:rStyle w:val="Hyperlink"/>
          </w:rPr>
          <w:t>https://docs.google.com/a/doi.gov/document/d/1PcQPH0Eal5KXywJ4twQfyjI8c-EKzv0FSzL5qMNPC84/edit?usp=sharing</w:t>
        </w:r>
      </w:hyperlink>
      <w:r>
        <w:t>)</w:t>
      </w:r>
    </w:p>
    <w:p w14:paraId="58697B74" w14:textId="77777777" w:rsidR="00507DA5" w:rsidRPr="00507DA5" w:rsidRDefault="00507DA5" w:rsidP="00507DA5">
      <w:pPr>
        <w:pStyle w:val="NormalWeb"/>
      </w:pPr>
      <w:r w:rsidRPr="00507DA5">
        <w:t>Knierim, K.J. and Clark, B.R., 2017, Groundwater use from the Ozark Plateaus aquifer system, 1900 to 2010: video, accessed online at https://www.youtube.com/watch?v=fnPo3DX2e5s</w:t>
      </w:r>
    </w:p>
    <w:p w14:paraId="61B1F744" w14:textId="77777777" w:rsidR="00507DA5" w:rsidRPr="00507DA5" w:rsidRDefault="00507DA5" w:rsidP="00507DA5">
      <w:pPr>
        <w:pStyle w:val="NormalWeb"/>
      </w:pPr>
      <w:r w:rsidRPr="00507DA5">
        <w:t>Knierim, K.J., Nottmeier, A.M., Worland, S., Westerman, D.A., and Clark, B.R., 2017, Challenges for creating a site-specific groundwater use record for the Ozark Plateaus aquifer system from 1900 to 2010: Hydrogeology Journal, https://doi.org/10.1007/s10040-017-1593-1</w:t>
      </w:r>
    </w:p>
    <w:p w14:paraId="0367DBA6" w14:textId="77777777" w:rsidR="00507DA5" w:rsidRPr="00507DA5" w:rsidRDefault="00507DA5" w:rsidP="00507DA5">
      <w:pPr>
        <w:pStyle w:val="NormalWeb"/>
      </w:pPr>
      <w:r w:rsidRPr="00507DA5">
        <w:t>Hays, P.D., Knierim, K.J., Breaker, Brian, Westerman, D.A., and Clark, B.R., 2016, Hydrogeology and hydrologic conditions of the Ozark Plateaus aquifer system: U.S. Geological Survey Scientific Investigations Report 2016–5137, 61 p., http://dx.doi.org/10.3133/sir20165137.</w:t>
      </w:r>
    </w:p>
    <w:p w14:paraId="5F093F83" w14:textId="2DF8960B" w:rsidR="00507DA5" w:rsidRPr="003B59B0" w:rsidRDefault="00507DA5" w:rsidP="003B59B0">
      <w:pPr>
        <w:pStyle w:val="NormalWeb"/>
        <w:rPr>
          <w:rStyle w:val="Strong"/>
          <w:b w:val="0"/>
          <w:bCs w:val="0"/>
        </w:rPr>
      </w:pPr>
      <w:r w:rsidRPr="00507DA5">
        <w:t>Westerman, D.A., Gillip, J.A., Richards, J.M., Hays, P.D., Clark, B.R., 2016, Altitudes and thicknesses of hydrogeologic units of the Ozark Plateaus aquifer system in Arkansas, Kansas, Missouri, and Oklahoma: U.S. Geological Survey Scientific Investigations Report 2016–5130, 32 p., http://dx.doi.org/10.3133/sir20165130.</w:t>
      </w:r>
    </w:p>
    <w:p w14:paraId="5070D4B6" w14:textId="77777777" w:rsidR="00631AC7" w:rsidRDefault="00630893" w:rsidP="00AA4C60">
      <w:pPr>
        <w:pStyle w:val="NormalWeb"/>
      </w:pPr>
      <w:r>
        <w:rPr>
          <w:rStyle w:val="Strong"/>
        </w:rPr>
        <w:t>(5</w:t>
      </w:r>
      <w:r w:rsidR="00D54F3C">
        <w:rPr>
          <w:rStyle w:val="Strong"/>
        </w:rPr>
        <w:t xml:space="preserve">) </w:t>
      </w:r>
      <w:r w:rsidR="00E876A9">
        <w:rPr>
          <w:rStyle w:val="Strong"/>
        </w:rPr>
        <w:t>PROJECT</w:t>
      </w:r>
      <w:r w:rsidR="00D54F3C">
        <w:rPr>
          <w:rStyle w:val="Strong"/>
        </w:rPr>
        <w:t xml:space="preserve"> TEAM DIRECTORY </w:t>
      </w:r>
      <w:r w:rsidR="00D54F3C">
        <w:t>- P</w:t>
      </w:r>
      <w:r w:rsidR="00E876A9">
        <w:t>lease provide a list of personnel</w:t>
      </w:r>
      <w:r w:rsidR="00AA4C60">
        <w:t xml:space="preserve"> </w:t>
      </w:r>
      <w:r w:rsidR="00934947">
        <w:t xml:space="preserve">that are currently active on your project </w:t>
      </w:r>
      <w:r w:rsidR="00AA4C60">
        <w:t>along with th</w:t>
      </w:r>
      <w:r w:rsidR="00631AC7">
        <w:t xml:space="preserve">eir affiliation, </w:t>
      </w:r>
      <w:r w:rsidR="00934947">
        <w:t xml:space="preserve">location, phone, </w:t>
      </w:r>
      <w:r w:rsidR="00AA4C60">
        <w:t xml:space="preserve">email address, and very brief statement of their role on </w:t>
      </w:r>
      <w:r w:rsidR="00934947">
        <w:t xml:space="preserve">your </w:t>
      </w:r>
      <w:r w:rsidR="00AA4C60">
        <w:t>project</w:t>
      </w:r>
      <w:r w:rsidR="00934947">
        <w:t>.</w:t>
      </w:r>
    </w:p>
    <w:p w14:paraId="1103684C" w14:textId="77777777" w:rsidR="00C5591E" w:rsidRDefault="00C5591E" w:rsidP="00C5591E">
      <w:pPr>
        <w:pStyle w:val="NormalWeb"/>
        <w:spacing w:before="0" w:beforeAutospacing="0" w:after="0" w:afterAutospacing="0"/>
      </w:pPr>
      <w:r>
        <w:t>Brian Clark</w:t>
      </w:r>
    </w:p>
    <w:p w14:paraId="4AC4DCB0" w14:textId="77777777" w:rsidR="00C5591E" w:rsidRDefault="00C5591E" w:rsidP="00C5591E">
      <w:pPr>
        <w:pStyle w:val="NormalWeb"/>
        <w:spacing w:before="0" w:beforeAutospacing="0" w:after="0" w:afterAutospacing="0"/>
      </w:pPr>
      <w:r>
        <w:t>USGS – LMGWSC</w:t>
      </w:r>
    </w:p>
    <w:p w14:paraId="7D5324CD" w14:textId="77777777" w:rsidR="00C5591E" w:rsidRDefault="00C5591E" w:rsidP="00C5591E">
      <w:pPr>
        <w:pStyle w:val="NormalWeb"/>
        <w:spacing w:before="0" w:beforeAutospacing="0" w:after="0" w:afterAutospacing="0"/>
      </w:pPr>
      <w:r>
        <w:t>Fayetteville, AR</w:t>
      </w:r>
    </w:p>
    <w:p w14:paraId="79B7B6A5" w14:textId="77777777" w:rsidR="00C5591E" w:rsidRDefault="00C5591E" w:rsidP="00C5591E">
      <w:pPr>
        <w:pStyle w:val="NormalWeb"/>
        <w:spacing w:before="0" w:beforeAutospacing="0" w:after="0" w:afterAutospacing="0"/>
      </w:pPr>
      <w:r>
        <w:t>479.442.4888</w:t>
      </w:r>
    </w:p>
    <w:p w14:paraId="17E6C09E" w14:textId="77777777" w:rsidR="00C5591E" w:rsidRDefault="005F2D10" w:rsidP="00C5591E">
      <w:pPr>
        <w:pStyle w:val="NormalWeb"/>
        <w:spacing w:before="0" w:beforeAutospacing="0" w:after="0" w:afterAutospacing="0"/>
      </w:pPr>
      <w:hyperlink r:id="rId10" w:history="1">
        <w:r w:rsidR="00C5591E" w:rsidRPr="00162BE9">
          <w:rPr>
            <w:rStyle w:val="Hyperlink"/>
          </w:rPr>
          <w:t>brclark@usgs.gov</w:t>
        </w:r>
      </w:hyperlink>
    </w:p>
    <w:p w14:paraId="0A783DCD" w14:textId="77777777" w:rsidR="00C5591E" w:rsidRDefault="00C5591E" w:rsidP="00C5591E">
      <w:pPr>
        <w:pStyle w:val="NormalWeb"/>
        <w:spacing w:before="0" w:beforeAutospacing="0" w:after="0" w:afterAutospacing="0"/>
      </w:pPr>
      <w:r>
        <w:t>Project lead</w:t>
      </w:r>
    </w:p>
    <w:p w14:paraId="41E79121" w14:textId="77777777" w:rsidR="00C5591E" w:rsidRDefault="00C5591E" w:rsidP="00C5591E">
      <w:pPr>
        <w:pStyle w:val="NormalWeb"/>
        <w:spacing w:before="0" w:beforeAutospacing="0" w:after="0" w:afterAutospacing="0"/>
      </w:pPr>
    </w:p>
    <w:p w14:paraId="6BB7668B" w14:textId="77777777" w:rsidR="00C5591E" w:rsidRDefault="00C5591E" w:rsidP="00C5591E">
      <w:pPr>
        <w:pStyle w:val="NormalWeb"/>
        <w:spacing w:before="0" w:beforeAutospacing="0" w:after="0" w:afterAutospacing="0"/>
      </w:pPr>
      <w:r>
        <w:t>Katherine Knierim</w:t>
      </w:r>
    </w:p>
    <w:p w14:paraId="75E5CE3D" w14:textId="77777777" w:rsidR="00C5591E" w:rsidRDefault="00C5591E" w:rsidP="00C5591E">
      <w:pPr>
        <w:pStyle w:val="NormalWeb"/>
        <w:spacing w:before="0" w:beforeAutospacing="0" w:after="0" w:afterAutospacing="0"/>
      </w:pPr>
      <w:r>
        <w:t>USGS – LMGWSC</w:t>
      </w:r>
    </w:p>
    <w:p w14:paraId="0C260229" w14:textId="77777777" w:rsidR="00C5591E" w:rsidRDefault="00C5591E" w:rsidP="00C5591E">
      <w:pPr>
        <w:pStyle w:val="NormalWeb"/>
        <w:spacing w:before="0" w:beforeAutospacing="0" w:after="0" w:afterAutospacing="0"/>
      </w:pPr>
      <w:r>
        <w:t>Little Rock, AR</w:t>
      </w:r>
    </w:p>
    <w:p w14:paraId="292D8615" w14:textId="77777777" w:rsidR="00C5591E" w:rsidRDefault="00C5591E" w:rsidP="00C5591E">
      <w:pPr>
        <w:pStyle w:val="NormalWeb"/>
        <w:spacing w:before="0" w:beforeAutospacing="0" w:after="0" w:afterAutospacing="0"/>
      </w:pPr>
      <w:r>
        <w:t>501.228.3600</w:t>
      </w:r>
    </w:p>
    <w:p w14:paraId="527DAD64" w14:textId="77777777" w:rsidR="00C5591E" w:rsidRDefault="00C5591E" w:rsidP="00C5591E">
      <w:pPr>
        <w:pStyle w:val="NormalWeb"/>
        <w:spacing w:before="0" w:beforeAutospacing="0" w:after="0" w:afterAutospacing="0"/>
      </w:pPr>
      <w:r>
        <w:t>kknierim@usgs.gov</w:t>
      </w:r>
    </w:p>
    <w:p w14:paraId="3A71C665" w14:textId="77777777" w:rsidR="00C5591E" w:rsidRDefault="00C5591E" w:rsidP="00C5591E">
      <w:pPr>
        <w:pStyle w:val="NormalWeb"/>
        <w:spacing w:before="0" w:beforeAutospacing="0" w:after="0" w:afterAutospacing="0"/>
      </w:pPr>
      <w:r>
        <w:t>Water use estimates</w:t>
      </w:r>
    </w:p>
    <w:p w14:paraId="39D4EE34" w14:textId="77777777" w:rsidR="00C5591E" w:rsidRDefault="00C5591E" w:rsidP="00C5591E">
      <w:pPr>
        <w:pStyle w:val="NormalWeb"/>
        <w:spacing w:before="0" w:beforeAutospacing="0" w:after="0" w:afterAutospacing="0"/>
      </w:pPr>
    </w:p>
    <w:p w14:paraId="62CF1199" w14:textId="6BF26BF2" w:rsidR="00C5591E" w:rsidRDefault="00C5591E" w:rsidP="00C5591E">
      <w:pPr>
        <w:pStyle w:val="NormalWeb"/>
        <w:spacing w:before="0" w:beforeAutospacing="0" w:after="0" w:afterAutospacing="0"/>
      </w:pPr>
      <w:r>
        <w:t>Leslie Duncan</w:t>
      </w:r>
    </w:p>
    <w:p w14:paraId="3CE302E2" w14:textId="6604D1B6" w:rsidR="00C5591E" w:rsidRDefault="00C5591E" w:rsidP="00C5591E">
      <w:pPr>
        <w:pStyle w:val="NormalWeb"/>
        <w:spacing w:before="0" w:beforeAutospacing="0" w:after="0" w:afterAutospacing="0"/>
      </w:pPr>
      <w:r>
        <w:t>USGS – LMGWSC</w:t>
      </w:r>
    </w:p>
    <w:p w14:paraId="4E240691" w14:textId="080E9B2A" w:rsidR="00C5591E" w:rsidRDefault="00C5591E" w:rsidP="00C5591E">
      <w:pPr>
        <w:pStyle w:val="NormalWeb"/>
        <w:spacing w:before="0" w:beforeAutospacing="0" w:after="0" w:afterAutospacing="0"/>
      </w:pPr>
      <w:r>
        <w:t>Nashville, TN</w:t>
      </w:r>
    </w:p>
    <w:p w14:paraId="61EE2502" w14:textId="0692757A" w:rsidR="00C5591E" w:rsidRDefault="00C5591E" w:rsidP="00C5591E">
      <w:pPr>
        <w:pStyle w:val="NormalWeb"/>
        <w:spacing w:before="0" w:beforeAutospacing="0" w:after="0" w:afterAutospacing="0"/>
      </w:pPr>
      <w:r>
        <w:t>615-837-4700</w:t>
      </w:r>
    </w:p>
    <w:p w14:paraId="33636124" w14:textId="741142D7" w:rsidR="00C5591E" w:rsidRDefault="005F2D10" w:rsidP="00C5591E">
      <w:pPr>
        <w:pStyle w:val="NormalWeb"/>
        <w:spacing w:before="0" w:beforeAutospacing="0" w:after="0" w:afterAutospacing="0"/>
      </w:pPr>
      <w:hyperlink r:id="rId11" w:history="1">
        <w:r w:rsidR="00C5591E" w:rsidRPr="00094ABF">
          <w:rPr>
            <w:rStyle w:val="Hyperlink"/>
          </w:rPr>
          <w:t>lduncan@usgs.gov</w:t>
        </w:r>
      </w:hyperlink>
    </w:p>
    <w:p w14:paraId="3BB1832A" w14:textId="553E2FD6" w:rsidR="00C5591E" w:rsidRDefault="00C5591E" w:rsidP="00C5591E">
      <w:pPr>
        <w:pStyle w:val="NormalWeb"/>
        <w:spacing w:before="0" w:beforeAutospacing="0" w:after="0" w:afterAutospacing="0"/>
      </w:pPr>
      <w:r>
        <w:t>Uncertainty analysis</w:t>
      </w:r>
    </w:p>
    <w:p w14:paraId="4DD642EE" w14:textId="77777777" w:rsidR="00C5591E" w:rsidRDefault="00C5591E" w:rsidP="00C5591E">
      <w:pPr>
        <w:pStyle w:val="NormalWeb"/>
        <w:spacing w:before="0" w:beforeAutospacing="0" w:after="0" w:afterAutospacing="0"/>
      </w:pPr>
    </w:p>
    <w:p w14:paraId="2FD28FAF" w14:textId="77777777" w:rsidR="00C5591E" w:rsidRDefault="00C5591E" w:rsidP="00C5591E">
      <w:pPr>
        <w:pStyle w:val="NormalWeb"/>
        <w:spacing w:before="0" w:beforeAutospacing="0" w:after="0" w:afterAutospacing="0"/>
      </w:pPr>
      <w:r>
        <w:t>Joe Richards</w:t>
      </w:r>
    </w:p>
    <w:p w14:paraId="3BDF03A4" w14:textId="77777777" w:rsidR="00C5591E" w:rsidRDefault="00C5591E" w:rsidP="00C5591E">
      <w:pPr>
        <w:pStyle w:val="NormalWeb"/>
        <w:spacing w:before="0" w:beforeAutospacing="0" w:after="0" w:afterAutospacing="0"/>
      </w:pPr>
      <w:r>
        <w:t>USGS – MOWSC</w:t>
      </w:r>
    </w:p>
    <w:p w14:paraId="759B86F6" w14:textId="77777777" w:rsidR="00C5591E" w:rsidRDefault="00C5591E" w:rsidP="00C5591E">
      <w:pPr>
        <w:pStyle w:val="NormalWeb"/>
        <w:tabs>
          <w:tab w:val="left" w:pos="1984"/>
        </w:tabs>
        <w:spacing w:before="0" w:beforeAutospacing="0" w:after="0" w:afterAutospacing="0"/>
      </w:pPr>
      <w:r>
        <w:t>Rolla, MO</w:t>
      </w:r>
      <w:r>
        <w:tab/>
      </w:r>
    </w:p>
    <w:p w14:paraId="6A958A25" w14:textId="77777777" w:rsidR="00C5591E" w:rsidRDefault="00C5591E" w:rsidP="00C5591E">
      <w:pPr>
        <w:pStyle w:val="NormalWeb"/>
        <w:tabs>
          <w:tab w:val="left" w:pos="1984"/>
        </w:tabs>
        <w:spacing w:before="0" w:beforeAutospacing="0" w:after="0" w:afterAutospacing="0"/>
      </w:pPr>
      <w:r>
        <w:t>573.308.3568</w:t>
      </w:r>
    </w:p>
    <w:p w14:paraId="05E1942C" w14:textId="77777777" w:rsidR="00C5591E" w:rsidRDefault="00C5591E" w:rsidP="00C5591E">
      <w:pPr>
        <w:pStyle w:val="NormalWeb"/>
        <w:tabs>
          <w:tab w:val="left" w:pos="1984"/>
        </w:tabs>
        <w:spacing w:before="0" w:beforeAutospacing="0" w:after="0" w:afterAutospacing="0"/>
      </w:pPr>
      <w:r>
        <w:t>richards@usgs.gov</w:t>
      </w:r>
    </w:p>
    <w:p w14:paraId="39FE1096" w14:textId="77777777" w:rsidR="00C5591E" w:rsidRDefault="00C5591E" w:rsidP="00C5591E">
      <w:pPr>
        <w:pStyle w:val="NormalWeb"/>
        <w:spacing w:before="0" w:beforeAutospacing="0" w:after="0" w:afterAutospacing="0"/>
      </w:pPr>
      <w:r>
        <w:t>Hydrogeologic units, model support</w:t>
      </w:r>
    </w:p>
    <w:p w14:paraId="2181F0E6" w14:textId="77777777" w:rsidR="00C5591E" w:rsidRDefault="00C5591E" w:rsidP="00AA4C60">
      <w:pPr>
        <w:pStyle w:val="NormalWeb"/>
      </w:pPr>
    </w:p>
    <w:p w14:paraId="139D3112" w14:textId="77777777" w:rsidR="00E93739" w:rsidRDefault="00630893" w:rsidP="00AA4C60">
      <w:pPr>
        <w:pStyle w:val="NormalWeb"/>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r w:rsidR="00BE53F9" w:rsidRPr="00BE53F9">
        <w:t xml:space="preserve">Please </w:t>
      </w:r>
      <w:r w:rsidR="00BE53F9">
        <w:t>provide link to, or fi</w:t>
      </w:r>
      <w:r w:rsidR="00EC4B81">
        <w:t xml:space="preserve">le of, your best digital photos, animations </w:t>
      </w:r>
      <w:r w:rsidR="00BE53F9">
        <w:t xml:space="preserve">or graphics </w:t>
      </w:r>
      <w:r w:rsidR="00EC4B81">
        <w:t xml:space="preserve">of project activities </w:t>
      </w:r>
      <w:r w:rsidR="002003A2">
        <w:t>that clearly illustrate how you are going about achieving project goals or the significance of results. A brief caption is needed for each submitted image</w:t>
      </w:r>
      <w:r w:rsidR="00EC4B81">
        <w:t xml:space="preserve">. A description </w:t>
      </w:r>
      <w:r w:rsidR="00385D20">
        <w:t xml:space="preserve">of what is being seen </w:t>
      </w:r>
      <w:r w:rsidR="00EC4B81">
        <w:t>should accompany the an</w:t>
      </w:r>
      <w:r w:rsidR="00385D20">
        <w:t>imation</w:t>
      </w:r>
      <w:r w:rsidR="002003A2">
        <w:t>.</w:t>
      </w:r>
      <w:r w:rsidR="000A4E2F">
        <w:t xml:space="preserve">  These may be used in future WAUSP web pages or planning documents.</w:t>
      </w:r>
    </w:p>
    <w:p w14:paraId="2D8EBDD4" w14:textId="77777777" w:rsidR="00CC0815" w:rsidRDefault="00CC0815" w:rsidP="00AA4C60">
      <w:pPr>
        <w:pStyle w:val="NormalWeb"/>
      </w:pPr>
    </w:p>
    <w:p w14:paraId="0C3FCBAA" w14:textId="3F9AD786" w:rsidR="00CC0815" w:rsidRDefault="00CC0815" w:rsidP="00CC0815">
      <w:pPr>
        <w:pStyle w:val="NormalWeb"/>
      </w:pPr>
      <w:r w:rsidRPr="00CC0815">
        <w:t xml:space="preserve">Knierim, K.J. and Clark, B.R., 2017, Groundwater use from the Ozark Plateaus aquifer system, 1900 to 2010: video, accessed online at </w:t>
      </w:r>
      <w:hyperlink r:id="rId12" w:history="1">
        <w:r w:rsidRPr="00094ABF">
          <w:rPr>
            <w:rStyle w:val="Hyperlink"/>
          </w:rPr>
          <w:t>https://www.youtube.com/watch?v=fnPo3DX2e5s</w:t>
        </w:r>
      </w:hyperlink>
    </w:p>
    <w:p w14:paraId="4CA378F7" w14:textId="77777777" w:rsidR="00CC0815" w:rsidRDefault="00CC0815" w:rsidP="00CC0815">
      <w:pPr>
        <w:pStyle w:val="NormalWeb"/>
      </w:pPr>
    </w:p>
    <w:p w14:paraId="372E7EB4" w14:textId="77777777" w:rsidR="00CC0815" w:rsidRPr="00CC0815" w:rsidRDefault="00CC0815" w:rsidP="00CC0815">
      <w:pPr>
        <w:pStyle w:val="NormalWeb"/>
      </w:pPr>
      <w:r w:rsidRPr="00CC0815">
        <w:t>Clark, B.R., 2015, Groundwater, a source to streams in the Ozark Plateaus: video, accessed at </w:t>
      </w:r>
      <w:hyperlink r:id="rId13" w:history="1">
        <w:r w:rsidRPr="00CC0815">
          <w:rPr>
            <w:rStyle w:val="Hyperlink"/>
          </w:rPr>
          <w:t>https://www.youtube.com/watch?v=CTw4cfZyTMw</w:t>
        </w:r>
      </w:hyperlink>
    </w:p>
    <w:p w14:paraId="58154A7A" w14:textId="77777777" w:rsidR="00CC0815" w:rsidRPr="00593B05" w:rsidRDefault="00CC0815" w:rsidP="00AA4C60">
      <w:pPr>
        <w:pStyle w:val="NormalWeb"/>
      </w:pPr>
    </w:p>
    <w:sectPr w:rsidR="00CC0815" w:rsidRPr="00593B05">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BE774" w14:textId="77777777" w:rsidR="002B2B46" w:rsidRDefault="002B2B46">
      <w:r>
        <w:separator/>
      </w:r>
    </w:p>
  </w:endnote>
  <w:endnote w:type="continuationSeparator" w:id="0">
    <w:p w14:paraId="7B23F10B" w14:textId="77777777" w:rsidR="002B2B46" w:rsidRDefault="002B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A22A7" w14:textId="77777777" w:rsidR="002B2B46" w:rsidRDefault="002B2B46"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D03124" w14:textId="77777777" w:rsidR="002B2B46" w:rsidRDefault="002B2B46" w:rsidP="00B31E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0C29C" w14:textId="77777777" w:rsidR="002B2B46" w:rsidRDefault="002B2B46"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D10">
      <w:rPr>
        <w:rStyle w:val="PageNumber"/>
        <w:noProof/>
      </w:rPr>
      <w:t>2</w:t>
    </w:r>
    <w:r>
      <w:rPr>
        <w:rStyle w:val="PageNumber"/>
      </w:rPr>
      <w:fldChar w:fldCharType="end"/>
    </w:r>
  </w:p>
  <w:p w14:paraId="79D6C6CA" w14:textId="77777777" w:rsidR="002B2B46" w:rsidRDefault="002B2B46" w:rsidP="00B31E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0490C" w14:textId="77777777" w:rsidR="002B2B46" w:rsidRDefault="002B2B46">
      <w:r>
        <w:separator/>
      </w:r>
    </w:p>
  </w:footnote>
  <w:footnote w:type="continuationSeparator" w:id="0">
    <w:p w14:paraId="5C702ADE" w14:textId="77777777" w:rsidR="002B2B46" w:rsidRDefault="002B2B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4F3"/>
    <w:multiLevelType w:val="hybridMultilevel"/>
    <w:tmpl w:val="A2CCEF10"/>
    <w:lvl w:ilvl="0" w:tplc="1A8CEB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7"/>
  </w:num>
  <w:num w:numId="4">
    <w:abstractNumId w:val="17"/>
  </w:num>
  <w:num w:numId="5">
    <w:abstractNumId w:val="8"/>
  </w:num>
  <w:num w:numId="6">
    <w:abstractNumId w:val="12"/>
  </w:num>
  <w:num w:numId="7">
    <w:abstractNumId w:val="9"/>
  </w:num>
  <w:num w:numId="8">
    <w:abstractNumId w:val="6"/>
  </w:num>
  <w:num w:numId="9">
    <w:abstractNumId w:val="1"/>
  </w:num>
  <w:num w:numId="10">
    <w:abstractNumId w:val="18"/>
  </w:num>
  <w:num w:numId="11">
    <w:abstractNumId w:val="16"/>
  </w:num>
  <w:num w:numId="12">
    <w:abstractNumId w:val="19"/>
  </w:num>
  <w:num w:numId="13">
    <w:abstractNumId w:val="4"/>
  </w:num>
  <w:num w:numId="14">
    <w:abstractNumId w:val="14"/>
  </w:num>
  <w:num w:numId="15">
    <w:abstractNumId w:val="11"/>
  </w:num>
  <w:num w:numId="16">
    <w:abstractNumId w:val="5"/>
  </w:num>
  <w:num w:numId="17">
    <w:abstractNumId w:val="20"/>
  </w:num>
  <w:num w:numId="18">
    <w:abstractNumId w:val="2"/>
  </w:num>
  <w:num w:numId="19">
    <w:abstractNumId w:val="3"/>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6DC1"/>
    <w:rsid w:val="00027918"/>
    <w:rsid w:val="00044E96"/>
    <w:rsid w:val="0005649D"/>
    <w:rsid w:val="00066FFC"/>
    <w:rsid w:val="000803A0"/>
    <w:rsid w:val="0008768A"/>
    <w:rsid w:val="000922C6"/>
    <w:rsid w:val="000A4E2F"/>
    <w:rsid w:val="000C5403"/>
    <w:rsid w:val="000D270D"/>
    <w:rsid w:val="000D6242"/>
    <w:rsid w:val="00125193"/>
    <w:rsid w:val="001328C3"/>
    <w:rsid w:val="001621AB"/>
    <w:rsid w:val="0016303D"/>
    <w:rsid w:val="00166511"/>
    <w:rsid w:val="00175D9D"/>
    <w:rsid w:val="00180779"/>
    <w:rsid w:val="001A3B17"/>
    <w:rsid w:val="001C70F8"/>
    <w:rsid w:val="001E1A1C"/>
    <w:rsid w:val="001E50BE"/>
    <w:rsid w:val="001E612C"/>
    <w:rsid w:val="002003A2"/>
    <w:rsid w:val="00203A60"/>
    <w:rsid w:val="00207293"/>
    <w:rsid w:val="00223543"/>
    <w:rsid w:val="002549C8"/>
    <w:rsid w:val="002559A3"/>
    <w:rsid w:val="0027276F"/>
    <w:rsid w:val="00286DDA"/>
    <w:rsid w:val="00296629"/>
    <w:rsid w:val="002B2B46"/>
    <w:rsid w:val="00302713"/>
    <w:rsid w:val="00305CF2"/>
    <w:rsid w:val="00314D05"/>
    <w:rsid w:val="00337CEB"/>
    <w:rsid w:val="00347645"/>
    <w:rsid w:val="00354973"/>
    <w:rsid w:val="00385D20"/>
    <w:rsid w:val="003A0083"/>
    <w:rsid w:val="003B0380"/>
    <w:rsid w:val="003B59B0"/>
    <w:rsid w:val="003C04E0"/>
    <w:rsid w:val="003F1792"/>
    <w:rsid w:val="00417943"/>
    <w:rsid w:val="00421745"/>
    <w:rsid w:val="0042699E"/>
    <w:rsid w:val="0043646F"/>
    <w:rsid w:val="004431FF"/>
    <w:rsid w:val="00452C78"/>
    <w:rsid w:val="0045318C"/>
    <w:rsid w:val="004756DC"/>
    <w:rsid w:val="004771AF"/>
    <w:rsid w:val="00485ACA"/>
    <w:rsid w:val="004D7A46"/>
    <w:rsid w:val="00507801"/>
    <w:rsid w:val="00507DA5"/>
    <w:rsid w:val="00525EC9"/>
    <w:rsid w:val="00536721"/>
    <w:rsid w:val="005522D5"/>
    <w:rsid w:val="005561F9"/>
    <w:rsid w:val="00556A24"/>
    <w:rsid w:val="005570B9"/>
    <w:rsid w:val="005674B5"/>
    <w:rsid w:val="00593B05"/>
    <w:rsid w:val="005B70D6"/>
    <w:rsid w:val="005D52EB"/>
    <w:rsid w:val="005E7A23"/>
    <w:rsid w:val="005F2D10"/>
    <w:rsid w:val="00630893"/>
    <w:rsid w:val="00631AC7"/>
    <w:rsid w:val="00653D3F"/>
    <w:rsid w:val="00655B21"/>
    <w:rsid w:val="0067074A"/>
    <w:rsid w:val="00670D4C"/>
    <w:rsid w:val="00682ABC"/>
    <w:rsid w:val="00694DF8"/>
    <w:rsid w:val="006D122D"/>
    <w:rsid w:val="006D18EA"/>
    <w:rsid w:val="006D4AE6"/>
    <w:rsid w:val="006E5857"/>
    <w:rsid w:val="0071329A"/>
    <w:rsid w:val="00715E1E"/>
    <w:rsid w:val="00721D91"/>
    <w:rsid w:val="007356E6"/>
    <w:rsid w:val="0074672C"/>
    <w:rsid w:val="00746E2E"/>
    <w:rsid w:val="0075024F"/>
    <w:rsid w:val="00762724"/>
    <w:rsid w:val="0076554F"/>
    <w:rsid w:val="00767313"/>
    <w:rsid w:val="00783266"/>
    <w:rsid w:val="00791D01"/>
    <w:rsid w:val="007B17A1"/>
    <w:rsid w:val="007D36DE"/>
    <w:rsid w:val="00810075"/>
    <w:rsid w:val="00823948"/>
    <w:rsid w:val="00830EB9"/>
    <w:rsid w:val="00842135"/>
    <w:rsid w:val="00847FF0"/>
    <w:rsid w:val="0085269A"/>
    <w:rsid w:val="008543CC"/>
    <w:rsid w:val="008773A6"/>
    <w:rsid w:val="0089573E"/>
    <w:rsid w:val="008A0764"/>
    <w:rsid w:val="008A1790"/>
    <w:rsid w:val="008A5765"/>
    <w:rsid w:val="008B0AC7"/>
    <w:rsid w:val="008C2A25"/>
    <w:rsid w:val="008C465C"/>
    <w:rsid w:val="008C4BE2"/>
    <w:rsid w:val="009010CD"/>
    <w:rsid w:val="009078B8"/>
    <w:rsid w:val="009115CB"/>
    <w:rsid w:val="00914B63"/>
    <w:rsid w:val="00921250"/>
    <w:rsid w:val="0092611D"/>
    <w:rsid w:val="0093341E"/>
    <w:rsid w:val="00934947"/>
    <w:rsid w:val="0094032E"/>
    <w:rsid w:val="00947E84"/>
    <w:rsid w:val="00956DA6"/>
    <w:rsid w:val="009816CD"/>
    <w:rsid w:val="00983E7C"/>
    <w:rsid w:val="0098443D"/>
    <w:rsid w:val="009B308F"/>
    <w:rsid w:val="009E7A1A"/>
    <w:rsid w:val="00A05874"/>
    <w:rsid w:val="00A26ED4"/>
    <w:rsid w:val="00A70327"/>
    <w:rsid w:val="00A70BEF"/>
    <w:rsid w:val="00A75F8E"/>
    <w:rsid w:val="00A82A20"/>
    <w:rsid w:val="00A97D7E"/>
    <w:rsid w:val="00AA4C60"/>
    <w:rsid w:val="00AD5DD4"/>
    <w:rsid w:val="00AF5A3B"/>
    <w:rsid w:val="00AF64F3"/>
    <w:rsid w:val="00B16C95"/>
    <w:rsid w:val="00B31EE5"/>
    <w:rsid w:val="00B414FF"/>
    <w:rsid w:val="00B5000D"/>
    <w:rsid w:val="00B70DB3"/>
    <w:rsid w:val="00B73D6A"/>
    <w:rsid w:val="00BB10AD"/>
    <w:rsid w:val="00BC1514"/>
    <w:rsid w:val="00BC7DCC"/>
    <w:rsid w:val="00BE53F9"/>
    <w:rsid w:val="00C163F4"/>
    <w:rsid w:val="00C2618C"/>
    <w:rsid w:val="00C460A5"/>
    <w:rsid w:val="00C47D87"/>
    <w:rsid w:val="00C53575"/>
    <w:rsid w:val="00C5591E"/>
    <w:rsid w:val="00C722AD"/>
    <w:rsid w:val="00C80CBC"/>
    <w:rsid w:val="00C86688"/>
    <w:rsid w:val="00CB7D81"/>
    <w:rsid w:val="00CC0815"/>
    <w:rsid w:val="00CD44C1"/>
    <w:rsid w:val="00CF073E"/>
    <w:rsid w:val="00D14A23"/>
    <w:rsid w:val="00D16401"/>
    <w:rsid w:val="00D20926"/>
    <w:rsid w:val="00D3724A"/>
    <w:rsid w:val="00D40138"/>
    <w:rsid w:val="00D4598C"/>
    <w:rsid w:val="00D47004"/>
    <w:rsid w:val="00D54F3C"/>
    <w:rsid w:val="00D62916"/>
    <w:rsid w:val="00D760EA"/>
    <w:rsid w:val="00D93AE2"/>
    <w:rsid w:val="00DA4D04"/>
    <w:rsid w:val="00DC4D27"/>
    <w:rsid w:val="00DC6A51"/>
    <w:rsid w:val="00DE24E5"/>
    <w:rsid w:val="00E019F0"/>
    <w:rsid w:val="00E0235E"/>
    <w:rsid w:val="00E11C32"/>
    <w:rsid w:val="00E24336"/>
    <w:rsid w:val="00E251E3"/>
    <w:rsid w:val="00E25605"/>
    <w:rsid w:val="00E3079C"/>
    <w:rsid w:val="00E36E4C"/>
    <w:rsid w:val="00E57C12"/>
    <w:rsid w:val="00E64D6D"/>
    <w:rsid w:val="00E70052"/>
    <w:rsid w:val="00E80378"/>
    <w:rsid w:val="00E876A9"/>
    <w:rsid w:val="00E93739"/>
    <w:rsid w:val="00EB416B"/>
    <w:rsid w:val="00EB74BF"/>
    <w:rsid w:val="00EC4B81"/>
    <w:rsid w:val="00ED0E80"/>
    <w:rsid w:val="00EE5131"/>
    <w:rsid w:val="00EE7DAC"/>
    <w:rsid w:val="00EF4838"/>
    <w:rsid w:val="00F34E4B"/>
    <w:rsid w:val="00F3700B"/>
    <w:rsid w:val="00F376A7"/>
    <w:rsid w:val="00F42EF9"/>
    <w:rsid w:val="00F4780A"/>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FE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table" w:styleId="TableGrid">
    <w:name w:val="Table Grid"/>
    <w:basedOn w:val="TableNormal"/>
    <w:rsid w:val="00BC7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table" w:styleId="TableGrid">
    <w:name w:val="Table Grid"/>
    <w:basedOn w:val="TableNormal"/>
    <w:rsid w:val="00BC7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4122">
      <w:bodyDiv w:val="1"/>
      <w:marLeft w:val="0"/>
      <w:marRight w:val="0"/>
      <w:marTop w:val="0"/>
      <w:marBottom w:val="0"/>
      <w:divBdr>
        <w:top w:val="none" w:sz="0" w:space="0" w:color="auto"/>
        <w:left w:val="none" w:sz="0" w:space="0" w:color="auto"/>
        <w:bottom w:val="none" w:sz="0" w:space="0" w:color="auto"/>
        <w:right w:val="none" w:sz="0" w:space="0" w:color="auto"/>
      </w:divBdr>
    </w:div>
    <w:div w:id="807666363">
      <w:bodyDiv w:val="1"/>
      <w:marLeft w:val="0"/>
      <w:marRight w:val="0"/>
      <w:marTop w:val="0"/>
      <w:marBottom w:val="0"/>
      <w:divBdr>
        <w:top w:val="none" w:sz="0" w:space="0" w:color="auto"/>
        <w:left w:val="none" w:sz="0" w:space="0" w:color="auto"/>
        <w:bottom w:val="none" w:sz="0" w:space="0" w:color="auto"/>
        <w:right w:val="none" w:sz="0" w:space="0" w:color="auto"/>
      </w:divBdr>
    </w:div>
    <w:div w:id="1112894986">
      <w:bodyDiv w:val="1"/>
      <w:marLeft w:val="0"/>
      <w:marRight w:val="0"/>
      <w:marTop w:val="0"/>
      <w:marBottom w:val="0"/>
      <w:divBdr>
        <w:top w:val="none" w:sz="0" w:space="0" w:color="auto"/>
        <w:left w:val="none" w:sz="0" w:space="0" w:color="auto"/>
        <w:bottom w:val="none" w:sz="0" w:space="0" w:color="auto"/>
        <w:right w:val="none" w:sz="0" w:space="0" w:color="auto"/>
      </w:divBdr>
      <w:divsChild>
        <w:div w:id="1674799187">
          <w:marLeft w:val="0"/>
          <w:marRight w:val="0"/>
          <w:marTop w:val="0"/>
          <w:marBottom w:val="0"/>
          <w:divBdr>
            <w:top w:val="none" w:sz="0" w:space="0" w:color="auto"/>
            <w:left w:val="none" w:sz="0" w:space="0" w:color="auto"/>
            <w:bottom w:val="none" w:sz="0" w:space="0" w:color="auto"/>
            <w:right w:val="none" w:sz="0" w:space="0" w:color="auto"/>
          </w:divBdr>
        </w:div>
        <w:div w:id="1334845170">
          <w:marLeft w:val="0"/>
          <w:marRight w:val="0"/>
          <w:marTop w:val="0"/>
          <w:marBottom w:val="0"/>
          <w:divBdr>
            <w:top w:val="none" w:sz="0" w:space="0" w:color="auto"/>
            <w:left w:val="none" w:sz="0" w:space="0" w:color="auto"/>
            <w:bottom w:val="none" w:sz="0" w:space="0" w:color="auto"/>
            <w:right w:val="none" w:sz="0" w:space="0" w:color="auto"/>
          </w:divBdr>
        </w:div>
        <w:div w:id="764350517">
          <w:marLeft w:val="0"/>
          <w:marRight w:val="0"/>
          <w:marTop w:val="0"/>
          <w:marBottom w:val="0"/>
          <w:divBdr>
            <w:top w:val="none" w:sz="0" w:space="0" w:color="auto"/>
            <w:left w:val="none" w:sz="0" w:space="0" w:color="auto"/>
            <w:bottom w:val="none" w:sz="0" w:space="0" w:color="auto"/>
            <w:right w:val="none" w:sz="0" w:space="0" w:color="auto"/>
          </w:divBdr>
        </w:div>
      </w:divsChild>
    </w:div>
    <w:div w:id="1261599718">
      <w:bodyDiv w:val="1"/>
      <w:marLeft w:val="0"/>
      <w:marRight w:val="0"/>
      <w:marTop w:val="0"/>
      <w:marBottom w:val="0"/>
      <w:divBdr>
        <w:top w:val="none" w:sz="0" w:space="0" w:color="auto"/>
        <w:left w:val="none" w:sz="0" w:space="0" w:color="auto"/>
        <w:bottom w:val="none" w:sz="0" w:space="0" w:color="auto"/>
        <w:right w:val="none" w:sz="0" w:space="0" w:color="auto"/>
      </w:divBdr>
    </w:div>
    <w:div w:id="1368220671">
      <w:bodyDiv w:val="1"/>
      <w:marLeft w:val="0"/>
      <w:marRight w:val="0"/>
      <w:marTop w:val="0"/>
      <w:marBottom w:val="0"/>
      <w:divBdr>
        <w:top w:val="none" w:sz="0" w:space="0" w:color="auto"/>
        <w:left w:val="none" w:sz="0" w:space="0" w:color="auto"/>
        <w:bottom w:val="none" w:sz="0" w:space="0" w:color="auto"/>
        <w:right w:val="none" w:sz="0" w:space="0" w:color="auto"/>
      </w:divBdr>
    </w:div>
    <w:div w:id="1576822424">
      <w:bodyDiv w:val="1"/>
      <w:marLeft w:val="0"/>
      <w:marRight w:val="0"/>
      <w:marTop w:val="0"/>
      <w:marBottom w:val="0"/>
      <w:divBdr>
        <w:top w:val="none" w:sz="0" w:space="0" w:color="auto"/>
        <w:left w:val="none" w:sz="0" w:space="0" w:color="auto"/>
        <w:bottom w:val="none" w:sz="0" w:space="0" w:color="auto"/>
        <w:right w:val="none" w:sz="0" w:space="0" w:color="auto"/>
      </w:divBdr>
    </w:div>
    <w:div w:id="1718354656">
      <w:bodyDiv w:val="1"/>
      <w:marLeft w:val="0"/>
      <w:marRight w:val="0"/>
      <w:marTop w:val="0"/>
      <w:marBottom w:val="0"/>
      <w:divBdr>
        <w:top w:val="none" w:sz="0" w:space="0" w:color="auto"/>
        <w:left w:val="none" w:sz="0" w:space="0" w:color="auto"/>
        <w:bottom w:val="none" w:sz="0" w:space="0" w:color="auto"/>
        <w:right w:val="none" w:sz="0" w:space="0" w:color="auto"/>
      </w:divBdr>
    </w:div>
    <w:div w:id="1724207027">
      <w:bodyDiv w:val="1"/>
      <w:marLeft w:val="0"/>
      <w:marRight w:val="0"/>
      <w:marTop w:val="0"/>
      <w:marBottom w:val="0"/>
      <w:divBdr>
        <w:top w:val="none" w:sz="0" w:space="0" w:color="auto"/>
        <w:left w:val="none" w:sz="0" w:space="0" w:color="auto"/>
        <w:bottom w:val="none" w:sz="0" w:space="0" w:color="auto"/>
        <w:right w:val="none" w:sz="0" w:space="0" w:color="auto"/>
      </w:divBdr>
      <w:divsChild>
        <w:div w:id="970864794">
          <w:marLeft w:val="0"/>
          <w:marRight w:val="0"/>
          <w:marTop w:val="0"/>
          <w:marBottom w:val="0"/>
          <w:divBdr>
            <w:top w:val="none" w:sz="0" w:space="0" w:color="auto"/>
            <w:left w:val="none" w:sz="0" w:space="0" w:color="auto"/>
            <w:bottom w:val="none" w:sz="0" w:space="0" w:color="auto"/>
            <w:right w:val="none" w:sz="0" w:space="0" w:color="auto"/>
          </w:divBdr>
        </w:div>
        <w:div w:id="2001738410">
          <w:marLeft w:val="0"/>
          <w:marRight w:val="0"/>
          <w:marTop w:val="0"/>
          <w:marBottom w:val="0"/>
          <w:divBdr>
            <w:top w:val="none" w:sz="0" w:space="0" w:color="auto"/>
            <w:left w:val="none" w:sz="0" w:space="0" w:color="auto"/>
            <w:bottom w:val="none" w:sz="0" w:space="0" w:color="auto"/>
            <w:right w:val="none" w:sz="0" w:space="0" w:color="auto"/>
          </w:divBdr>
        </w:div>
        <w:div w:id="1869030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duncan@usgs.gov" TargetMode="External"/><Relationship Id="rId12" Type="http://schemas.openxmlformats.org/officeDocument/2006/relationships/hyperlink" Target="https://www.youtube.com/watch?v=fnPo3DX2e5s" TargetMode="External"/><Relationship Id="rId13" Type="http://schemas.openxmlformats.org/officeDocument/2006/relationships/hyperlink" Target="https://www.youtube.com/watch?v=CTw4cfZyTMw"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s.google.com/a/doi.gov/document/d/1PcQPH0Eal5KXywJ4twQfyjI8c-EKzv0FSzL5qMNPC84/edit?usp=sharing" TargetMode="External"/><Relationship Id="rId10" Type="http://schemas.openxmlformats.org/officeDocument/2006/relationships/hyperlink" Target="mailto:brclar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BB6E4-3B63-0C41-9D36-A99AFDA2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1037</Words>
  <Characters>5911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6935</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bc</cp:lastModifiedBy>
  <cp:revision>23</cp:revision>
  <cp:lastPrinted>2010-08-13T18:27:00Z</cp:lastPrinted>
  <dcterms:created xsi:type="dcterms:W3CDTF">2017-07-19T20:21:00Z</dcterms:created>
  <dcterms:modified xsi:type="dcterms:W3CDTF">2017-08-29T02:28:00Z</dcterms:modified>
</cp:coreProperties>
</file>