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FF6" w:rsidRPr="005B5D2D" w:rsidRDefault="00474FF6" w:rsidP="00474FF6">
      <w:pPr>
        <w:jc w:val="center"/>
        <w:rPr>
          <w:rFonts w:ascii="Arial" w:hAnsi="Arial" w:cs="Arial"/>
          <w:b/>
          <w:sz w:val="28"/>
          <w:szCs w:val="28"/>
        </w:rPr>
      </w:pPr>
      <w:r w:rsidRPr="005B5D2D">
        <w:rPr>
          <w:rFonts w:ascii="Arial" w:hAnsi="Arial" w:cs="Arial"/>
          <w:b/>
          <w:sz w:val="28"/>
          <w:szCs w:val="28"/>
        </w:rPr>
        <w:t>Water Availability and Use Science Program</w:t>
      </w:r>
    </w:p>
    <w:p w:rsidR="00474FF6" w:rsidRPr="005B5D2D" w:rsidRDefault="00474FF6" w:rsidP="00D77789">
      <w:pPr>
        <w:spacing w:after="240"/>
        <w:jc w:val="center"/>
        <w:rPr>
          <w:rFonts w:ascii="Arial" w:hAnsi="Arial" w:cs="Arial"/>
          <w:b/>
          <w:sz w:val="28"/>
          <w:szCs w:val="28"/>
        </w:rPr>
      </w:pPr>
      <w:r w:rsidRPr="005B5D2D">
        <w:rPr>
          <w:rFonts w:ascii="Arial" w:hAnsi="Arial" w:cs="Arial"/>
          <w:b/>
          <w:sz w:val="28"/>
          <w:szCs w:val="28"/>
        </w:rPr>
        <w:t xml:space="preserve">Hawai‘i Volcanic Aquifer Study </w:t>
      </w:r>
      <w:r w:rsidRPr="00E23C8A">
        <w:rPr>
          <w:rFonts w:ascii="Arial" w:hAnsi="Arial" w:cs="Arial"/>
          <w:b/>
          <w:sz w:val="28"/>
          <w:szCs w:val="28"/>
        </w:rPr>
        <w:t>FY</w:t>
      </w:r>
      <w:r w:rsidR="00E23C8A" w:rsidRPr="00E23C8A">
        <w:rPr>
          <w:rFonts w:ascii="Arial" w:hAnsi="Arial" w:cs="Arial"/>
          <w:b/>
          <w:sz w:val="28"/>
          <w:szCs w:val="28"/>
        </w:rPr>
        <w:t xml:space="preserve"> </w:t>
      </w:r>
      <w:r w:rsidRPr="00E23C8A">
        <w:rPr>
          <w:rFonts w:ascii="Arial" w:hAnsi="Arial" w:cs="Arial"/>
          <w:b/>
          <w:sz w:val="28"/>
          <w:szCs w:val="28"/>
        </w:rPr>
        <w:t>2017</w:t>
      </w:r>
      <w:r w:rsidRPr="005B5D2D">
        <w:rPr>
          <w:rFonts w:ascii="Arial" w:hAnsi="Arial" w:cs="Arial"/>
          <w:b/>
          <w:sz w:val="28"/>
          <w:szCs w:val="28"/>
        </w:rPr>
        <w:t xml:space="preserve"> End-of-Year Report</w:t>
      </w:r>
    </w:p>
    <w:p w:rsidR="00D77789" w:rsidRDefault="00EB01B5" w:rsidP="00D77789">
      <w:pPr>
        <w:pStyle w:val="paragraph"/>
        <w:spacing w:after="120" w:line="276" w:lineRule="auto"/>
        <w:rPr>
          <w:rStyle w:val="Strong"/>
        </w:rPr>
      </w:pPr>
      <w:r>
        <w:t>Hawaii’s Volcanic Aquifers</w:t>
      </w:r>
      <w:r w:rsidR="00D77789" w:rsidRPr="00D2539A">
        <w:t xml:space="preserve"> supp</w:t>
      </w:r>
      <w:r w:rsidR="00D77789">
        <w:t>ly freshwater to</w:t>
      </w:r>
      <w:r w:rsidR="00D77789" w:rsidRPr="00D2539A">
        <w:t xml:space="preserve"> 1.4 million</w:t>
      </w:r>
      <w:r w:rsidR="00D77789">
        <w:t xml:space="preserve"> people</w:t>
      </w:r>
      <w:r w:rsidR="00D77789" w:rsidRPr="00D2539A">
        <w:t xml:space="preserve">, a large component of the U.S. military in the Pacific, and diverse industries. </w:t>
      </w:r>
      <w:r w:rsidRPr="00D2539A">
        <w:t>The objective of the Hawai‘</w:t>
      </w:r>
      <w:r>
        <w:t>i Volcanic</w:t>
      </w:r>
      <w:r w:rsidRPr="00D2539A">
        <w:t xml:space="preserve"> Aquifer Study, one of the regional groundwater</w:t>
      </w:r>
      <w:r w:rsidR="00E23C8A">
        <w:t xml:space="preserve"> availability assessments</w:t>
      </w:r>
      <w:r w:rsidRPr="00D2539A">
        <w:t xml:space="preserve"> of the Water Availability and Use Science Program</w:t>
      </w:r>
      <w:r w:rsidR="00E23C8A">
        <w:t>,</w:t>
      </w:r>
      <w:r w:rsidRPr="00D2539A">
        <w:t xml:space="preserve"> is to update understanding of groundwater av</w:t>
      </w:r>
      <w:r w:rsidR="00E23C8A">
        <w:t>ailability</w:t>
      </w:r>
      <w:r w:rsidRPr="00D2539A">
        <w:t xml:space="preserve"> in Hawai</w:t>
      </w:r>
      <w:r>
        <w:t>‘i’s aquifers.</w:t>
      </w:r>
      <w:r w:rsidRPr="00EB01B5">
        <w:t xml:space="preserve"> </w:t>
      </w:r>
      <w:r w:rsidRPr="00D2539A">
        <w:t>The study is being conducted by the</w:t>
      </w:r>
      <w:r w:rsidR="00E23C8A">
        <w:t xml:space="preserve"> </w:t>
      </w:r>
      <w:r w:rsidR="00E23C8A" w:rsidRPr="00E23C8A">
        <w:t>United States Geological Survey (USGS)</w:t>
      </w:r>
      <w:r w:rsidR="00E23C8A">
        <w:t xml:space="preserve"> </w:t>
      </w:r>
      <w:r w:rsidRPr="00D2539A">
        <w:t>Pacific Islands Water Science Center (PIWSC) in Honolulu, Hawai‘i.</w:t>
      </w:r>
      <w:r>
        <w:t xml:space="preserve"> Fiscal Year (FY) 2017</w:t>
      </w:r>
      <w:r w:rsidRPr="00D2539A">
        <w:t xml:space="preserve"> was the</w:t>
      </w:r>
      <w:r>
        <w:t xml:space="preserve"> fif</w:t>
      </w:r>
      <w:r w:rsidRPr="00D2539A">
        <w:t>th year of the</w:t>
      </w:r>
      <w:r>
        <w:t xml:space="preserve"> study</w:t>
      </w:r>
      <w:r w:rsidRPr="00D2539A">
        <w:t xml:space="preserve">. </w:t>
      </w:r>
    </w:p>
    <w:p w:rsidR="00630893" w:rsidRPr="0084678A" w:rsidRDefault="00EB01B5" w:rsidP="0084678A">
      <w:pPr>
        <w:pStyle w:val="NormalWeb"/>
        <w:spacing w:before="240" w:beforeAutospacing="0" w:after="120" w:afterAutospacing="0"/>
        <w:ind w:left="360" w:hanging="360"/>
        <w:rPr>
          <w:rStyle w:val="Strong"/>
        </w:rPr>
      </w:pPr>
      <w:r>
        <w:rPr>
          <w:rStyle w:val="Strong"/>
        </w:rPr>
        <w:t>1.</w:t>
      </w:r>
      <w:r>
        <w:rPr>
          <w:rStyle w:val="Strong"/>
        </w:rPr>
        <w:tab/>
      </w:r>
      <w:r w:rsidR="00D54F3C" w:rsidRPr="0084678A">
        <w:rPr>
          <w:rStyle w:val="Strong"/>
        </w:rPr>
        <w:t>PROJECT ACCOMPLISHMENTS</w:t>
      </w:r>
      <w:r w:rsidR="001E1A1C" w:rsidRPr="0084678A">
        <w:rPr>
          <w:rStyle w:val="Strong"/>
        </w:rPr>
        <w:t>/CONTRIBUTIONS</w:t>
      </w:r>
      <w:r>
        <w:rPr>
          <w:rStyle w:val="Strong"/>
        </w:rPr>
        <w:t xml:space="preserve"> IN </w:t>
      </w:r>
      <w:r w:rsidR="0067074A" w:rsidRPr="00E23C8A">
        <w:rPr>
          <w:rStyle w:val="Strong"/>
        </w:rPr>
        <w:t>FY 201</w:t>
      </w:r>
      <w:r w:rsidR="00D3724A" w:rsidRPr="00E23C8A">
        <w:rPr>
          <w:rStyle w:val="Strong"/>
        </w:rPr>
        <w:t>7</w:t>
      </w:r>
    </w:p>
    <w:p w:rsidR="002674EA" w:rsidRDefault="002674EA" w:rsidP="002674EA">
      <w:pPr>
        <w:autoSpaceDE w:val="0"/>
        <w:autoSpaceDN w:val="0"/>
        <w:adjustRightInd w:val="0"/>
        <w:spacing w:line="240" w:lineRule="atLeast"/>
        <w:ind w:left="720"/>
        <w:rPr>
          <w:rFonts w:ascii="Arial" w:hAnsi="Arial" w:cs="Arial"/>
          <w:color w:val="0000FF"/>
        </w:rPr>
      </w:pPr>
    </w:p>
    <w:p w:rsidR="00763915" w:rsidRDefault="00763915" w:rsidP="00763915">
      <w:pPr>
        <w:keepNext/>
        <w:ind w:left="720" w:hanging="360"/>
        <w:rPr>
          <w:rFonts w:ascii="Arial" w:hAnsi="Arial" w:cs="Arial"/>
          <w:b/>
          <w:color w:val="000000"/>
        </w:rPr>
      </w:pPr>
      <w:r>
        <w:rPr>
          <w:rFonts w:ascii="Arial" w:hAnsi="Arial" w:cs="Arial"/>
          <w:b/>
          <w:color w:val="000000"/>
        </w:rPr>
        <w:t xml:space="preserve">USGS </w:t>
      </w:r>
      <w:r w:rsidRPr="00763915">
        <w:rPr>
          <w:rFonts w:ascii="Arial" w:hAnsi="Arial" w:cs="Arial"/>
          <w:b/>
          <w:color w:val="000000"/>
        </w:rPr>
        <w:t xml:space="preserve">Revised </w:t>
      </w:r>
      <w:r>
        <w:rPr>
          <w:rFonts w:ascii="Arial" w:hAnsi="Arial" w:cs="Arial"/>
          <w:b/>
          <w:color w:val="000000"/>
        </w:rPr>
        <w:t>R</w:t>
      </w:r>
      <w:r w:rsidRPr="00763915">
        <w:rPr>
          <w:rFonts w:ascii="Arial" w:hAnsi="Arial" w:cs="Arial"/>
          <w:b/>
          <w:color w:val="000000"/>
        </w:rPr>
        <w:t>echarge</w:t>
      </w:r>
      <w:r>
        <w:rPr>
          <w:rFonts w:ascii="Arial" w:hAnsi="Arial" w:cs="Arial"/>
          <w:b/>
          <w:color w:val="000000"/>
        </w:rPr>
        <w:t xml:space="preserve"> Estimates for Kaua‘i, O‘ahu, and Maui</w:t>
      </w:r>
    </w:p>
    <w:p w:rsidR="00763915" w:rsidRDefault="0022283D" w:rsidP="00763915">
      <w:pPr>
        <w:keepNext/>
        <w:ind w:left="720" w:hanging="360"/>
        <w:rPr>
          <w:rFonts w:ascii="Arial" w:hAnsi="Arial" w:cs="Arial"/>
          <w:b/>
          <w:color w:val="000000"/>
        </w:rPr>
      </w:pPr>
      <w:r>
        <w:rPr>
          <w:rFonts w:ascii="Arial" w:hAnsi="Arial" w:cs="Arial"/>
          <w:b/>
          <w:color w:val="000000"/>
        </w:rPr>
        <w:t xml:space="preserve">Accurate recharge </w:t>
      </w:r>
    </w:p>
    <w:p w:rsidR="00763915" w:rsidRPr="0022283D" w:rsidRDefault="004E1276" w:rsidP="004E1276">
      <w:pPr>
        <w:pStyle w:val="paragraph"/>
        <w:spacing w:after="120" w:line="276" w:lineRule="auto"/>
        <w:ind w:left="360"/>
      </w:pPr>
      <w:r>
        <w:t>The ultimate</w:t>
      </w:r>
      <w:r w:rsidR="0022283D" w:rsidRPr="0022283D">
        <w:t xml:space="preserve"> source of fresh</w:t>
      </w:r>
      <w:r w:rsidR="0022283D">
        <w:t>water to Hawaii’s aquifers is groundwater</w:t>
      </w:r>
      <w:r w:rsidR="0022283D" w:rsidRPr="0022283D">
        <w:t xml:space="preserve"> recharge. </w:t>
      </w:r>
      <w:r>
        <w:t>USGS</w:t>
      </w:r>
      <w:r w:rsidR="0022283D" w:rsidRPr="0022283D">
        <w:t xml:space="preserve"> </w:t>
      </w:r>
      <w:r>
        <w:t xml:space="preserve">has been </w:t>
      </w:r>
      <w:r w:rsidR="00615015">
        <w:t xml:space="preserve">a leader in </w:t>
      </w:r>
      <w:r>
        <w:t>providing</w:t>
      </w:r>
      <w:r w:rsidR="0022283D" w:rsidRPr="0022283D">
        <w:t xml:space="preserve"> recharge estimat</w:t>
      </w:r>
      <w:r w:rsidR="0022283D">
        <w:t>es for the Hawaiian Islands</w:t>
      </w:r>
      <w:r w:rsidR="0022283D" w:rsidRPr="0022283D">
        <w:t xml:space="preserve"> </w:t>
      </w:r>
      <w:r w:rsidR="0022283D">
        <w:t>since the 1990s</w:t>
      </w:r>
      <w:r w:rsidR="0022283D" w:rsidRPr="0022283D">
        <w:t xml:space="preserve">. </w:t>
      </w:r>
      <w:r w:rsidR="002716AD">
        <w:t>T</w:t>
      </w:r>
      <w:r w:rsidR="00615015">
        <w:t>he Hawai</w:t>
      </w:r>
      <w:r w:rsidR="00AD4BD7">
        <w:t>‘</w:t>
      </w:r>
      <w:r w:rsidR="00615015">
        <w:t>i Stat</w:t>
      </w:r>
      <w:r w:rsidR="002716AD">
        <w:t>e Commission on Water Resources</w:t>
      </w:r>
      <w:r w:rsidR="00615015">
        <w:t xml:space="preserve"> use</w:t>
      </w:r>
      <w:r w:rsidR="002716AD">
        <w:t>s</w:t>
      </w:r>
      <w:r w:rsidR="00615015">
        <w:t xml:space="preserve"> the estimates to set sustainable yields for the islands. Other diverse entities, in</w:t>
      </w:r>
      <w:r w:rsidR="00BD25F2">
        <w:t>cluding</w:t>
      </w:r>
      <w:r w:rsidR="0022283D" w:rsidRPr="0022283D">
        <w:t xml:space="preserve"> </w:t>
      </w:r>
      <w:r w:rsidR="00BD25F2">
        <w:t>municipal</w:t>
      </w:r>
      <w:r w:rsidR="00615015">
        <w:t xml:space="preserve"> water</w:t>
      </w:r>
      <w:r w:rsidR="00BD25F2">
        <w:t xml:space="preserve"> systems</w:t>
      </w:r>
      <w:r w:rsidR="00615015">
        <w:t>,</w:t>
      </w:r>
      <w:r w:rsidR="0022283D" w:rsidRPr="0022283D">
        <w:t xml:space="preserve"> researc</w:t>
      </w:r>
      <w:r w:rsidR="00615015">
        <w:t>hers, educators,</w:t>
      </w:r>
      <w:r w:rsidR="0022283D" w:rsidRPr="0022283D">
        <w:t xml:space="preserve"> developer</w:t>
      </w:r>
      <w:r w:rsidR="00615015">
        <w:t>s,</w:t>
      </w:r>
      <w:r>
        <w:t xml:space="preserve"> and conservation</w:t>
      </w:r>
      <w:r w:rsidR="00113ECE">
        <w:t xml:space="preserve"> groups</w:t>
      </w:r>
      <w:r w:rsidR="00AD4BD7">
        <w:t>,</w:t>
      </w:r>
      <w:r w:rsidR="00AD4BD7" w:rsidRPr="00AD4BD7">
        <w:t xml:space="preserve"> </w:t>
      </w:r>
      <w:r w:rsidR="00AD4BD7">
        <w:t>also rely on the recharge</w:t>
      </w:r>
      <w:r w:rsidR="00AD4BD7" w:rsidRPr="0022283D">
        <w:t xml:space="preserve"> es</w:t>
      </w:r>
      <w:r w:rsidR="00AD4BD7">
        <w:t>timates</w:t>
      </w:r>
      <w:r w:rsidR="0022283D" w:rsidRPr="0022283D">
        <w:t xml:space="preserve">. </w:t>
      </w:r>
      <w:r>
        <w:t>In FY</w:t>
      </w:r>
      <w:r w:rsidR="00EB01B5">
        <w:t xml:space="preserve"> </w:t>
      </w:r>
      <w:r>
        <w:t xml:space="preserve">2017, </w:t>
      </w:r>
      <w:r w:rsidR="00113ECE">
        <w:t>the Hawai</w:t>
      </w:r>
      <w:r w:rsidR="00615015">
        <w:t>‘</w:t>
      </w:r>
      <w:r w:rsidR="00113ECE">
        <w:t>i Volcanic Aquifer Study</w:t>
      </w:r>
      <w:r>
        <w:t xml:space="preserve"> revised recharge estimates </w:t>
      </w:r>
      <w:r w:rsidR="00113ECE">
        <w:t xml:space="preserve">for Kaua‘i, O‘ahu, and Maui, </w:t>
      </w:r>
      <w:r>
        <w:t>that</w:t>
      </w:r>
      <w:r w:rsidR="00113ECE">
        <w:t xml:space="preserve"> had originally been published in FY</w:t>
      </w:r>
      <w:r w:rsidR="00EB01B5">
        <w:t xml:space="preserve"> </w:t>
      </w:r>
      <w:r w:rsidR="00AD4BD7">
        <w:t>2016. The</w:t>
      </w:r>
      <w:r w:rsidR="00113ECE">
        <w:t xml:space="preserve"> </w:t>
      </w:r>
      <w:r w:rsidR="00AD4BD7">
        <w:t>revised</w:t>
      </w:r>
      <w:r w:rsidR="00113ECE">
        <w:t xml:space="preserve"> es</w:t>
      </w:r>
      <w:r w:rsidR="00AD4BD7">
        <w:t>timates include</w:t>
      </w:r>
      <w:r w:rsidR="00113ECE">
        <w:t xml:space="preserve"> various historical</w:t>
      </w:r>
      <w:r w:rsidR="00AD4BD7">
        <w:t>ly significant</w:t>
      </w:r>
      <w:r w:rsidR="00113ECE">
        <w:t xml:space="preserve"> time periods, including (1) a predevelopment period before the first modern well was drilled in 1879, (2) 1978-2007 when the islands underwent a significant change in agriculture, and (3) 2001-2010, which represents current conditions. </w:t>
      </w:r>
      <w:r w:rsidR="00BD25F2">
        <w:t>The estimates show how groundwater recharge has changed as a result of human activities</w:t>
      </w:r>
      <w:r w:rsidR="00BD25F2" w:rsidRPr="00BD25F2">
        <w:t xml:space="preserve"> </w:t>
      </w:r>
      <w:r w:rsidR="002716AD">
        <w:t>on the land</w:t>
      </w:r>
      <w:r w:rsidR="00BD25F2">
        <w:t xml:space="preserve"> surface, such as deforestation, the change from subsistence agriculture to large-plantation agriculture, and the change from </w:t>
      </w:r>
      <w:r w:rsidR="00EB01B5">
        <w:t>large-plantation agricultural to urban and other land uses</w:t>
      </w:r>
      <w:r w:rsidR="00BD25F2">
        <w:t xml:space="preserve">. </w:t>
      </w:r>
      <w:r w:rsidR="00113ECE">
        <w:t xml:space="preserve">Geospatial data sets of the recharge </w:t>
      </w:r>
      <w:r w:rsidR="00AD4BD7">
        <w:t xml:space="preserve">estimates </w:t>
      </w:r>
      <w:r w:rsidR="00113ECE">
        <w:t>will be made available</w:t>
      </w:r>
      <w:r w:rsidR="00615015">
        <w:t xml:space="preserve"> </w:t>
      </w:r>
      <w:r w:rsidR="00AD4BD7">
        <w:t xml:space="preserve">on </w:t>
      </w:r>
      <w:r w:rsidR="00615015">
        <w:t>the web</w:t>
      </w:r>
      <w:r w:rsidR="00113ECE" w:rsidRPr="00113ECE">
        <w:t xml:space="preserve"> </w:t>
      </w:r>
      <w:r w:rsidR="00AD4BD7">
        <w:t>so that anyone</w:t>
      </w:r>
      <w:r w:rsidR="00615015">
        <w:t xml:space="preserve"> can use the</w:t>
      </w:r>
      <w:r w:rsidR="00AD4BD7">
        <w:t>m in their analysis or research.</w:t>
      </w:r>
    </w:p>
    <w:p w:rsidR="00763915" w:rsidRPr="00763915" w:rsidRDefault="00763915" w:rsidP="00763915">
      <w:pPr>
        <w:keepNext/>
        <w:ind w:left="720" w:hanging="360"/>
        <w:rPr>
          <w:rFonts w:ascii="Arial" w:hAnsi="Arial" w:cs="Arial"/>
          <w:b/>
          <w:color w:val="000000"/>
        </w:rPr>
      </w:pPr>
    </w:p>
    <w:p w:rsidR="00763915" w:rsidRDefault="00763915" w:rsidP="00763915">
      <w:pPr>
        <w:keepNext/>
        <w:ind w:left="720" w:hanging="360"/>
        <w:rPr>
          <w:rFonts w:ascii="Arial" w:hAnsi="Arial" w:cs="Arial"/>
          <w:b/>
          <w:color w:val="000000"/>
        </w:rPr>
      </w:pPr>
      <w:r>
        <w:rPr>
          <w:rFonts w:ascii="Arial" w:hAnsi="Arial" w:cs="Arial"/>
          <w:b/>
          <w:color w:val="000000"/>
        </w:rPr>
        <w:t xml:space="preserve">USGS </w:t>
      </w:r>
      <w:r w:rsidRPr="00763915">
        <w:rPr>
          <w:rFonts w:ascii="Arial" w:hAnsi="Arial" w:cs="Arial"/>
          <w:b/>
          <w:color w:val="000000"/>
        </w:rPr>
        <w:t xml:space="preserve">Revised </w:t>
      </w:r>
      <w:r>
        <w:rPr>
          <w:rFonts w:ascii="Arial" w:hAnsi="Arial" w:cs="Arial"/>
          <w:b/>
          <w:color w:val="000000"/>
        </w:rPr>
        <w:t>Groundwater Models using revised Recharge</w:t>
      </w:r>
    </w:p>
    <w:p w:rsidR="00763915" w:rsidRPr="00FD087F" w:rsidRDefault="00BD25F2" w:rsidP="00FD087F">
      <w:pPr>
        <w:pStyle w:val="paragraph"/>
        <w:spacing w:after="120" w:line="276" w:lineRule="auto"/>
        <w:ind w:left="360"/>
      </w:pPr>
      <w:r>
        <w:t>T</w:t>
      </w:r>
      <w:r w:rsidRPr="00BD25F2">
        <w:t xml:space="preserve">he Hawai‘i Volcanic Aquifer Study </w:t>
      </w:r>
      <w:r>
        <w:t>initially created computer</w:t>
      </w:r>
      <w:r w:rsidR="00763915">
        <w:t xml:space="preserve"> groundwater models </w:t>
      </w:r>
      <w:r w:rsidR="00622146">
        <w:t>of Kaua‘i, O‘ah</w:t>
      </w:r>
      <w:r>
        <w:t>u, and Maui</w:t>
      </w:r>
      <w:r w:rsidR="00622146">
        <w:t xml:space="preserve"> in </w:t>
      </w:r>
      <w:r w:rsidR="004E1276">
        <w:t>FY</w:t>
      </w:r>
      <w:r w:rsidR="00EB01B5">
        <w:t xml:space="preserve"> </w:t>
      </w:r>
      <w:r w:rsidR="004E1276">
        <w:t>2016; however,</w:t>
      </w:r>
      <w:r w:rsidR="00622146">
        <w:t xml:space="preserve"> because t</w:t>
      </w:r>
      <w:r w:rsidR="00763915" w:rsidRPr="00763915">
        <w:t xml:space="preserve">he </w:t>
      </w:r>
      <w:r w:rsidR="0022283D">
        <w:t>accuracy of models</w:t>
      </w:r>
      <w:r w:rsidR="00622146">
        <w:t xml:space="preserve"> </w:t>
      </w:r>
      <w:r w:rsidR="0022283D">
        <w:t xml:space="preserve">depends </w:t>
      </w:r>
      <w:r w:rsidR="00763915">
        <w:t>on accurate input data</w:t>
      </w:r>
      <w:r w:rsidR="00622146">
        <w:t>, t</w:t>
      </w:r>
      <w:r w:rsidR="00763915">
        <w:t xml:space="preserve">he </w:t>
      </w:r>
      <w:r w:rsidR="00622146">
        <w:t xml:space="preserve">models were recalibrated </w:t>
      </w:r>
      <w:r w:rsidR="004E1276">
        <w:t>in FY</w:t>
      </w:r>
      <w:r w:rsidR="00E23C8A">
        <w:t xml:space="preserve"> </w:t>
      </w:r>
      <w:r w:rsidR="004E1276">
        <w:t xml:space="preserve">2017 </w:t>
      </w:r>
      <w:r w:rsidR="00622146">
        <w:t xml:space="preserve">using the </w:t>
      </w:r>
      <w:r w:rsidR="00763915">
        <w:t xml:space="preserve">revised groundwater recharge described </w:t>
      </w:r>
      <w:r w:rsidR="00622146">
        <w:t>above.</w:t>
      </w:r>
      <w:r w:rsidR="00763915">
        <w:t xml:space="preserve"> </w:t>
      </w:r>
      <w:r w:rsidR="00622146">
        <w:t>The models are designed to quantify the consequ</w:t>
      </w:r>
      <w:r w:rsidR="00AA4FF2">
        <w:t>ences of groundwater withdrawals</w:t>
      </w:r>
      <w:r w:rsidR="0022283D">
        <w:t>.</w:t>
      </w:r>
      <w:r w:rsidR="00622146">
        <w:t xml:space="preserve"> </w:t>
      </w:r>
      <w:r w:rsidR="00AA4FF2">
        <w:t>Preliminary model simulations indicate that</w:t>
      </w:r>
      <w:r w:rsidR="00AA4FF2" w:rsidRPr="00622146">
        <w:t xml:space="preserve"> </w:t>
      </w:r>
      <w:r w:rsidR="00622146" w:rsidRPr="00622146">
        <w:t>histor</w:t>
      </w:r>
      <w:r w:rsidR="00AA4FF2">
        <w:t>ical withdrawals</w:t>
      </w:r>
      <w:r w:rsidR="00622146" w:rsidRPr="00622146">
        <w:t xml:space="preserve"> </w:t>
      </w:r>
      <w:r w:rsidR="00E862D6">
        <w:t>have</w:t>
      </w:r>
      <w:r w:rsidR="0022283D">
        <w:t xml:space="preserve"> caused various impacts depending on </w:t>
      </w:r>
      <w:r w:rsidR="00AA4FF2">
        <w:t>geolo</w:t>
      </w:r>
      <w:r w:rsidR="0022283D">
        <w:t>gic and hydrologic conditions</w:t>
      </w:r>
      <w:r w:rsidR="00622146" w:rsidRPr="00622146">
        <w:t xml:space="preserve">. In </w:t>
      </w:r>
      <w:r w:rsidR="00AA4FF2">
        <w:t xml:space="preserve">some areas, such as the heavily </w:t>
      </w:r>
      <w:r w:rsidR="00AA4FF2">
        <w:lastRenderedPageBreak/>
        <w:t>used Pearl Harbor Aquifer, groundwater</w:t>
      </w:r>
      <w:r w:rsidR="00AA4FF2" w:rsidRPr="00622146">
        <w:t xml:space="preserve"> withdrawals </w:t>
      </w:r>
      <w:r w:rsidR="00E862D6">
        <w:t>have</w:t>
      </w:r>
      <w:r w:rsidR="00AA4FF2">
        <w:t xml:space="preserve"> resulted in saltwater rise</w:t>
      </w:r>
      <w:r w:rsidR="00622146" w:rsidRPr="00622146">
        <w:t xml:space="preserve"> </w:t>
      </w:r>
      <w:r w:rsidR="008A6CC9">
        <w:t xml:space="preserve">(figure 1 in </w:t>
      </w:r>
      <w:r w:rsidR="008A6CC9" w:rsidRPr="008A6CC9">
        <w:rPr>
          <w:i/>
        </w:rPr>
        <w:t>Photos, Animations and Graphics</w:t>
      </w:r>
      <w:r w:rsidR="008A6CC9">
        <w:t xml:space="preserve"> </w:t>
      </w:r>
      <w:r w:rsidR="00006631">
        <w:t>[</w:t>
      </w:r>
      <w:r w:rsidR="008A6CC9">
        <w:t>below</w:t>
      </w:r>
      <w:r w:rsidR="00006631">
        <w:t>]</w:t>
      </w:r>
      <w:r w:rsidR="008A6CC9">
        <w:t xml:space="preserve">). </w:t>
      </w:r>
      <w:r w:rsidR="00AA4FF2">
        <w:t>In windward O‘ahu, groundwater withdrawals have resulted in</w:t>
      </w:r>
      <w:r w:rsidR="00622146" w:rsidRPr="00622146">
        <w:t xml:space="preserve"> reduced ground</w:t>
      </w:r>
      <w:r w:rsidR="00AA4FF2">
        <w:t>water discharge to streams</w:t>
      </w:r>
      <w:r w:rsidR="00006631">
        <w:t xml:space="preserve"> (figure 2)</w:t>
      </w:r>
      <w:r w:rsidR="00FD087F">
        <w:t xml:space="preserve">. </w:t>
      </w:r>
      <w:r w:rsidR="0049620A">
        <w:t>Withdrawals</w:t>
      </w:r>
      <w:r w:rsidR="00D2422A">
        <w:t xml:space="preserve"> </w:t>
      </w:r>
      <w:r w:rsidR="0049620A">
        <w:t xml:space="preserve">have </w:t>
      </w:r>
      <w:r w:rsidR="00D2422A">
        <w:t xml:space="preserve">also caused </w:t>
      </w:r>
      <w:r w:rsidR="0049620A">
        <w:t>lowering of the water table</w:t>
      </w:r>
      <w:r w:rsidR="00D2422A">
        <w:t xml:space="preserve"> and reductions in fresh-groundwater discharge along the coast. </w:t>
      </w:r>
      <w:r w:rsidR="00FD087F">
        <w:t xml:space="preserve">These impacts can translate to limits on how much water can be withdrawn from Hawai‘i’s aquifers to meet future human needs. </w:t>
      </w:r>
      <w:r w:rsidR="00622146" w:rsidRPr="00622146">
        <w:t>T</w:t>
      </w:r>
      <w:r w:rsidR="00FD087F">
        <w:t>he models will</w:t>
      </w:r>
      <w:r w:rsidR="00622146" w:rsidRPr="00622146">
        <w:t xml:space="preserve"> also be</w:t>
      </w:r>
      <w:r w:rsidR="00FD087F">
        <w:t xml:space="preserve"> used to examine how</w:t>
      </w:r>
      <w:r w:rsidR="00622146" w:rsidRPr="00622146">
        <w:t xml:space="preserve"> changes in future </w:t>
      </w:r>
      <w:r w:rsidR="00FD087F">
        <w:t xml:space="preserve">rainfall, land use, and </w:t>
      </w:r>
      <w:r w:rsidR="00622146" w:rsidRPr="00622146">
        <w:t xml:space="preserve">groundwater </w:t>
      </w:r>
      <w:r w:rsidR="00FD087F">
        <w:t>withdrawals</w:t>
      </w:r>
      <w:r w:rsidR="00622146" w:rsidRPr="00622146">
        <w:t xml:space="preserve"> will affect groundwater availability.</w:t>
      </w:r>
      <w:r w:rsidR="001E2E33">
        <w:t xml:space="preserve"> </w:t>
      </w:r>
      <w:r w:rsidR="008A6CC9">
        <w:t xml:space="preserve">These models have the </w:t>
      </w:r>
      <w:r w:rsidR="008A6CC9" w:rsidRPr="008A6CC9">
        <w:t>potential to substantially change the way groundwater resources are manage</w:t>
      </w:r>
      <w:r w:rsidR="008A6CC9">
        <w:t>d in Hawaii</w:t>
      </w:r>
      <w:r w:rsidR="008A6CC9" w:rsidRPr="008A6CC9">
        <w:t>.</w:t>
      </w:r>
    </w:p>
    <w:p w:rsidR="002674EA" w:rsidRPr="002674EA" w:rsidRDefault="00722C13" w:rsidP="0084678A">
      <w:pPr>
        <w:pStyle w:val="NormalWeb"/>
        <w:spacing w:before="240" w:beforeAutospacing="0" w:after="120" w:afterAutospacing="0"/>
        <w:ind w:left="360" w:hanging="360"/>
        <w:rPr>
          <w:rStyle w:val="Strong"/>
        </w:rPr>
      </w:pPr>
      <w:r>
        <w:rPr>
          <w:rStyle w:val="Strong"/>
          <w:color w:val="000000" w:themeColor="text1"/>
        </w:rPr>
        <w:t>2.</w:t>
      </w:r>
      <w:r>
        <w:rPr>
          <w:rStyle w:val="Strong"/>
          <w:color w:val="000000" w:themeColor="text1"/>
        </w:rPr>
        <w:tab/>
      </w:r>
      <w:r w:rsidR="002674EA" w:rsidRPr="0084678A">
        <w:rPr>
          <w:rStyle w:val="Strong"/>
        </w:rPr>
        <w:t>PROJECT</w:t>
      </w:r>
      <w:r w:rsidR="002674EA" w:rsidRPr="002674EA">
        <w:rPr>
          <w:rStyle w:val="Strong"/>
          <w:color w:val="000000" w:themeColor="text1"/>
        </w:rPr>
        <w:t xml:space="preserve"> WORKPLAN AND BUDGET FOR FY 2018</w:t>
      </w:r>
    </w:p>
    <w:p w:rsidR="002674EA" w:rsidRDefault="002674EA" w:rsidP="00722C13">
      <w:pPr>
        <w:pStyle w:val="paragraph"/>
        <w:spacing w:after="120" w:line="276" w:lineRule="auto"/>
        <w:ind w:left="360" w:firstLine="0"/>
      </w:pPr>
      <w:r>
        <w:t>The work plan for the Hawai‘i Volcanic Aquifer Study has four major tasks:</w:t>
      </w:r>
    </w:p>
    <w:p w:rsidR="002674EA" w:rsidRDefault="002674EA" w:rsidP="00722C13">
      <w:pPr>
        <w:pStyle w:val="paragraph"/>
        <w:spacing w:after="120" w:line="276" w:lineRule="auto"/>
        <w:ind w:left="720" w:hanging="360"/>
      </w:pPr>
      <w:r>
        <w:t>1.</w:t>
      </w:r>
      <w:r>
        <w:tab/>
        <w:t>Describe the hydrogeologic framework, quantify the groundwater budgets, and develop conceptual models of groundwater occurrence and flow. (Completed)</w:t>
      </w:r>
    </w:p>
    <w:p w:rsidR="002674EA" w:rsidRDefault="002674EA" w:rsidP="00722C13">
      <w:pPr>
        <w:pStyle w:val="paragraph"/>
        <w:spacing w:after="120" w:line="276" w:lineRule="auto"/>
        <w:ind w:left="720" w:hanging="360"/>
      </w:pPr>
      <w:r>
        <w:t>2.</w:t>
      </w:r>
      <w:r>
        <w:tab/>
        <w:t>Construct and calibrate steady-state numerical groundwater-flow models. (Completed, except report)</w:t>
      </w:r>
    </w:p>
    <w:p w:rsidR="002674EA" w:rsidRDefault="002674EA" w:rsidP="00722C13">
      <w:pPr>
        <w:pStyle w:val="paragraph"/>
        <w:spacing w:after="120" w:line="276" w:lineRule="auto"/>
        <w:ind w:left="720" w:hanging="360"/>
      </w:pPr>
      <w:r>
        <w:t>3.</w:t>
      </w:r>
      <w:r>
        <w:tab/>
        <w:t>Use the models to assess groundwater resources—how resources have changed as a result of historical human activities and how impacts from human activity may limit groundwater availability in the future.</w:t>
      </w:r>
    </w:p>
    <w:p w:rsidR="002674EA" w:rsidRDefault="002674EA" w:rsidP="00722C13">
      <w:pPr>
        <w:pStyle w:val="paragraph"/>
        <w:spacing w:after="120" w:line="276" w:lineRule="auto"/>
        <w:ind w:left="720" w:hanging="360"/>
      </w:pPr>
      <w:r>
        <w:t>4.</w:t>
      </w:r>
      <w:r>
        <w:tab/>
        <w:t>Disseminate project findings through publications, community outreach, professional meetings, and project web pages.</w:t>
      </w:r>
    </w:p>
    <w:p w:rsidR="002674EA" w:rsidRDefault="002674EA" w:rsidP="00722C13">
      <w:pPr>
        <w:pStyle w:val="paragraph"/>
        <w:spacing w:line="276" w:lineRule="auto"/>
        <w:ind w:left="360" w:firstLine="0"/>
      </w:pPr>
      <w:r>
        <w:t xml:space="preserve">The following subtasks will be completed in </w:t>
      </w:r>
      <w:r w:rsidR="00E23C8A">
        <w:t>FY 2</w:t>
      </w:r>
      <w:r>
        <w:t xml:space="preserve">018:  </w:t>
      </w:r>
    </w:p>
    <w:p w:rsidR="002674EA" w:rsidRPr="00961A2E" w:rsidRDefault="002674EA" w:rsidP="002674EA">
      <w:pPr>
        <w:rPr>
          <w:color w:val="0000FF"/>
        </w:rPr>
      </w:pPr>
    </w:p>
    <w:p w:rsidR="002674EA" w:rsidRPr="005C0F55" w:rsidRDefault="002674EA" w:rsidP="002674EA">
      <w:pPr>
        <w:keepNext/>
        <w:ind w:left="720" w:hanging="360"/>
        <w:rPr>
          <w:rFonts w:ascii="Arial" w:hAnsi="Arial" w:cs="Arial"/>
          <w:b/>
          <w:color w:val="000000"/>
        </w:rPr>
      </w:pPr>
      <w:r>
        <w:rPr>
          <w:rFonts w:ascii="Arial" w:hAnsi="Arial" w:cs="Arial"/>
          <w:b/>
          <w:color w:val="000000"/>
        </w:rPr>
        <w:t>A.</w:t>
      </w:r>
      <w:r>
        <w:rPr>
          <w:rFonts w:ascii="Arial" w:hAnsi="Arial" w:cs="Arial"/>
          <w:b/>
          <w:color w:val="000000"/>
        </w:rPr>
        <w:tab/>
      </w:r>
      <w:r w:rsidR="00D11AC6">
        <w:rPr>
          <w:rFonts w:ascii="Arial" w:hAnsi="Arial" w:cs="Arial"/>
          <w:b/>
          <w:color w:val="000000"/>
        </w:rPr>
        <w:t>Prepare a</w:t>
      </w:r>
      <w:r w:rsidRPr="005C0F55">
        <w:rPr>
          <w:rFonts w:ascii="Arial" w:hAnsi="Arial" w:cs="Arial"/>
          <w:b/>
          <w:color w:val="000000"/>
        </w:rPr>
        <w:t xml:space="preserve"> S</w:t>
      </w:r>
      <w:r w:rsidR="00D11AC6">
        <w:rPr>
          <w:rFonts w:ascii="Arial" w:hAnsi="Arial" w:cs="Arial"/>
          <w:b/>
          <w:color w:val="000000"/>
        </w:rPr>
        <w:t xml:space="preserve">cientific Investigations </w:t>
      </w:r>
      <w:r w:rsidRPr="005C0F55">
        <w:rPr>
          <w:rFonts w:ascii="Arial" w:hAnsi="Arial" w:cs="Arial"/>
          <w:b/>
          <w:color w:val="000000"/>
        </w:rPr>
        <w:t>R</w:t>
      </w:r>
      <w:r w:rsidR="00D11AC6">
        <w:rPr>
          <w:rFonts w:ascii="Arial" w:hAnsi="Arial" w:cs="Arial"/>
          <w:b/>
          <w:color w:val="000000"/>
        </w:rPr>
        <w:t>eport</w:t>
      </w:r>
      <w:r w:rsidRPr="005C0F55">
        <w:rPr>
          <w:rFonts w:ascii="Arial" w:hAnsi="Arial" w:cs="Arial"/>
          <w:b/>
          <w:color w:val="000000"/>
        </w:rPr>
        <w:t xml:space="preserve"> </w:t>
      </w:r>
      <w:r w:rsidR="000E11D7">
        <w:rPr>
          <w:rFonts w:ascii="Arial" w:hAnsi="Arial" w:cs="Arial"/>
          <w:b/>
          <w:color w:val="000000"/>
        </w:rPr>
        <w:t xml:space="preserve">(SIR) </w:t>
      </w:r>
      <w:r w:rsidRPr="005C0F55">
        <w:rPr>
          <w:rFonts w:ascii="Arial" w:hAnsi="Arial" w:cs="Arial"/>
          <w:b/>
          <w:color w:val="000000"/>
        </w:rPr>
        <w:t>describing model construction and calibration</w:t>
      </w:r>
    </w:p>
    <w:p w:rsidR="002674EA" w:rsidRPr="005C0F55" w:rsidRDefault="002674EA" w:rsidP="002674EA">
      <w:pPr>
        <w:keepNext/>
        <w:overflowPunct w:val="0"/>
        <w:autoSpaceDE w:val="0"/>
        <w:autoSpaceDN w:val="0"/>
        <w:adjustRightInd w:val="0"/>
        <w:spacing w:before="120"/>
        <w:ind w:left="720"/>
        <w:textAlignment w:val="baseline"/>
        <w:rPr>
          <w:color w:val="000000"/>
        </w:rPr>
      </w:pPr>
      <w:r w:rsidRPr="005C0F55">
        <w:rPr>
          <w:b/>
          <w:i/>
          <w:color w:val="000000"/>
        </w:rPr>
        <w:t>Objective—</w:t>
      </w:r>
      <w:r w:rsidRPr="005C0F55">
        <w:rPr>
          <w:color w:val="000000"/>
        </w:rPr>
        <w:t>P</w:t>
      </w:r>
      <w:r w:rsidR="00D1235C">
        <w:rPr>
          <w:color w:val="000000"/>
        </w:rPr>
        <w:t>repare an</w:t>
      </w:r>
      <w:r w:rsidRPr="005C0F55">
        <w:rPr>
          <w:color w:val="000000"/>
        </w:rPr>
        <w:t xml:space="preserve"> SIR describing model construction and calibration. Archive models. </w:t>
      </w:r>
    </w:p>
    <w:p w:rsidR="002674EA" w:rsidRPr="005C0F55" w:rsidRDefault="002674EA" w:rsidP="002674EA">
      <w:pPr>
        <w:keepNext/>
        <w:overflowPunct w:val="0"/>
        <w:autoSpaceDE w:val="0"/>
        <w:autoSpaceDN w:val="0"/>
        <w:adjustRightInd w:val="0"/>
        <w:spacing w:before="120"/>
        <w:ind w:left="720"/>
        <w:textAlignment w:val="baseline"/>
        <w:rPr>
          <w:b/>
          <w:i/>
          <w:color w:val="000000"/>
        </w:rPr>
      </w:pPr>
      <w:r w:rsidRPr="005C0F55">
        <w:rPr>
          <w:b/>
          <w:i/>
          <w:color w:val="000000"/>
        </w:rPr>
        <w:t xml:space="preserve">Planned Activities for </w:t>
      </w:r>
      <w:r w:rsidR="00E23C8A">
        <w:rPr>
          <w:b/>
          <w:i/>
          <w:color w:val="000000"/>
        </w:rPr>
        <w:t>FY 2</w:t>
      </w:r>
      <w:r>
        <w:rPr>
          <w:b/>
          <w:i/>
          <w:color w:val="000000"/>
        </w:rPr>
        <w:t>018</w:t>
      </w:r>
    </w:p>
    <w:p w:rsidR="002674EA" w:rsidRPr="005C0F55" w:rsidRDefault="002674EA" w:rsidP="002674EA">
      <w:pPr>
        <w:numPr>
          <w:ilvl w:val="0"/>
          <w:numId w:val="21"/>
        </w:numPr>
        <w:overflowPunct w:val="0"/>
        <w:autoSpaceDE w:val="0"/>
        <w:autoSpaceDN w:val="0"/>
        <w:adjustRightInd w:val="0"/>
        <w:spacing w:before="120"/>
        <w:textAlignment w:val="baseline"/>
        <w:rPr>
          <w:iCs/>
          <w:color w:val="000000"/>
        </w:rPr>
      </w:pPr>
      <w:r w:rsidRPr="005C0F55">
        <w:rPr>
          <w:iCs/>
          <w:color w:val="000000"/>
        </w:rPr>
        <w:t>Complete draft report</w:t>
      </w:r>
    </w:p>
    <w:p w:rsidR="002674EA" w:rsidRPr="005C0F55" w:rsidRDefault="002674EA" w:rsidP="002674EA">
      <w:pPr>
        <w:numPr>
          <w:ilvl w:val="0"/>
          <w:numId w:val="21"/>
        </w:numPr>
        <w:overflowPunct w:val="0"/>
        <w:autoSpaceDE w:val="0"/>
        <w:autoSpaceDN w:val="0"/>
        <w:adjustRightInd w:val="0"/>
        <w:spacing w:before="120"/>
        <w:textAlignment w:val="baseline"/>
        <w:rPr>
          <w:iCs/>
          <w:color w:val="000000"/>
        </w:rPr>
      </w:pPr>
      <w:r w:rsidRPr="005C0F55">
        <w:rPr>
          <w:iCs/>
          <w:color w:val="000000"/>
        </w:rPr>
        <w:t>Submit draft for peer review; revise</w:t>
      </w:r>
    </w:p>
    <w:p w:rsidR="002674EA" w:rsidRPr="005C0F55" w:rsidRDefault="002674EA" w:rsidP="002674EA">
      <w:pPr>
        <w:numPr>
          <w:ilvl w:val="0"/>
          <w:numId w:val="21"/>
        </w:numPr>
        <w:overflowPunct w:val="0"/>
        <w:autoSpaceDE w:val="0"/>
        <w:autoSpaceDN w:val="0"/>
        <w:adjustRightInd w:val="0"/>
        <w:spacing w:before="120"/>
        <w:textAlignment w:val="baseline"/>
        <w:rPr>
          <w:iCs/>
          <w:color w:val="000000"/>
        </w:rPr>
      </w:pPr>
      <w:r w:rsidRPr="005C0F55">
        <w:rPr>
          <w:iCs/>
          <w:color w:val="000000"/>
        </w:rPr>
        <w:t>Archive models and data sets</w:t>
      </w:r>
    </w:p>
    <w:p w:rsidR="000E11D7" w:rsidRDefault="002674EA" w:rsidP="002674EA">
      <w:pPr>
        <w:numPr>
          <w:ilvl w:val="0"/>
          <w:numId w:val="21"/>
        </w:numPr>
        <w:overflowPunct w:val="0"/>
        <w:autoSpaceDE w:val="0"/>
        <w:autoSpaceDN w:val="0"/>
        <w:adjustRightInd w:val="0"/>
        <w:spacing w:before="120"/>
        <w:textAlignment w:val="baseline"/>
        <w:rPr>
          <w:iCs/>
          <w:color w:val="000000"/>
        </w:rPr>
      </w:pPr>
      <w:r w:rsidRPr="005C0F55">
        <w:rPr>
          <w:iCs/>
          <w:color w:val="000000"/>
        </w:rPr>
        <w:t>Submit report for Bureau a</w:t>
      </w:r>
      <w:r>
        <w:rPr>
          <w:iCs/>
          <w:color w:val="000000"/>
        </w:rPr>
        <w:t>pproval</w:t>
      </w:r>
    </w:p>
    <w:p w:rsidR="002674EA" w:rsidRPr="005C0F55" w:rsidRDefault="000E11D7" w:rsidP="002674EA">
      <w:pPr>
        <w:numPr>
          <w:ilvl w:val="0"/>
          <w:numId w:val="21"/>
        </w:numPr>
        <w:overflowPunct w:val="0"/>
        <w:autoSpaceDE w:val="0"/>
        <w:autoSpaceDN w:val="0"/>
        <w:adjustRightInd w:val="0"/>
        <w:spacing w:before="120"/>
        <w:textAlignment w:val="baseline"/>
        <w:rPr>
          <w:iCs/>
          <w:color w:val="000000"/>
        </w:rPr>
      </w:pPr>
      <w:r>
        <w:rPr>
          <w:iCs/>
          <w:color w:val="000000"/>
        </w:rPr>
        <w:t>Publish SIR and release related data sets</w:t>
      </w:r>
      <w:r w:rsidR="002674EA" w:rsidRPr="005C0F55">
        <w:rPr>
          <w:iCs/>
          <w:color w:val="000000"/>
        </w:rPr>
        <w:t xml:space="preserve"> </w:t>
      </w:r>
    </w:p>
    <w:p w:rsidR="002674EA" w:rsidRPr="005C0F55" w:rsidRDefault="002674EA" w:rsidP="002674EA">
      <w:pPr>
        <w:keepNext/>
        <w:overflowPunct w:val="0"/>
        <w:autoSpaceDE w:val="0"/>
        <w:autoSpaceDN w:val="0"/>
        <w:adjustRightInd w:val="0"/>
        <w:spacing w:before="120"/>
        <w:ind w:left="720"/>
        <w:textAlignment w:val="baseline"/>
        <w:rPr>
          <w:b/>
          <w:i/>
          <w:color w:val="000000"/>
        </w:rPr>
      </w:pPr>
      <w:r w:rsidRPr="005C0F55">
        <w:rPr>
          <w:b/>
          <w:i/>
          <w:color w:val="000000"/>
        </w:rPr>
        <w:t xml:space="preserve">Planned goals/products for </w:t>
      </w:r>
      <w:r w:rsidR="00E23C8A">
        <w:rPr>
          <w:b/>
          <w:i/>
          <w:color w:val="000000"/>
        </w:rPr>
        <w:t>FY 2</w:t>
      </w:r>
      <w:r w:rsidRPr="005C0F55">
        <w:rPr>
          <w:b/>
          <w:i/>
          <w:color w:val="000000"/>
        </w:rPr>
        <w:t>01</w:t>
      </w:r>
      <w:r>
        <w:rPr>
          <w:b/>
          <w:i/>
          <w:color w:val="000000"/>
        </w:rPr>
        <w:t>8</w:t>
      </w:r>
      <w:r w:rsidRPr="005C0F55">
        <w:rPr>
          <w:b/>
          <w:i/>
          <w:color w:val="000000"/>
        </w:rPr>
        <w:t>—</w:t>
      </w:r>
      <w:r w:rsidR="00D1235C">
        <w:rPr>
          <w:iCs/>
          <w:color w:val="000000"/>
        </w:rPr>
        <w:t>Published</w:t>
      </w:r>
      <w:r>
        <w:rPr>
          <w:iCs/>
          <w:color w:val="000000"/>
        </w:rPr>
        <w:t xml:space="preserve"> SIR</w:t>
      </w:r>
      <w:r w:rsidRPr="005C0F55">
        <w:rPr>
          <w:iCs/>
          <w:color w:val="000000"/>
        </w:rPr>
        <w:t>; archived models and data sets</w:t>
      </w:r>
      <w:r w:rsidRPr="005C0F55">
        <w:rPr>
          <w:color w:val="000000"/>
        </w:rPr>
        <w:t>.</w:t>
      </w:r>
    </w:p>
    <w:p w:rsidR="002674EA" w:rsidRPr="00961A2E" w:rsidRDefault="002674EA" w:rsidP="002674EA">
      <w:pPr>
        <w:rPr>
          <w:color w:val="0000FF"/>
        </w:rPr>
      </w:pPr>
    </w:p>
    <w:p w:rsidR="002674EA" w:rsidRPr="005C0F55" w:rsidRDefault="002674EA" w:rsidP="002674EA">
      <w:pPr>
        <w:keepNext/>
        <w:ind w:left="720" w:hanging="360"/>
        <w:rPr>
          <w:rFonts w:ascii="Arial" w:hAnsi="Arial" w:cs="Arial"/>
          <w:b/>
          <w:color w:val="000000"/>
        </w:rPr>
      </w:pPr>
      <w:r w:rsidRPr="005C0F55">
        <w:rPr>
          <w:rFonts w:ascii="Arial" w:hAnsi="Arial" w:cs="Arial"/>
          <w:b/>
          <w:color w:val="000000"/>
        </w:rPr>
        <w:lastRenderedPageBreak/>
        <w:t>B.</w:t>
      </w:r>
      <w:r w:rsidRPr="005C0F55">
        <w:rPr>
          <w:rFonts w:ascii="Arial" w:hAnsi="Arial" w:cs="Arial"/>
          <w:b/>
          <w:color w:val="000000"/>
        </w:rPr>
        <w:tab/>
      </w:r>
      <w:r>
        <w:rPr>
          <w:rFonts w:ascii="Arial" w:hAnsi="Arial" w:cs="Arial"/>
          <w:b/>
          <w:color w:val="000000"/>
        </w:rPr>
        <w:t>Use</w:t>
      </w:r>
      <w:r w:rsidRPr="00A87466">
        <w:rPr>
          <w:rFonts w:ascii="Arial" w:hAnsi="Arial" w:cs="Arial"/>
          <w:b/>
          <w:color w:val="000000"/>
        </w:rPr>
        <w:t xml:space="preserve"> models to assess groundwater availability</w:t>
      </w:r>
    </w:p>
    <w:p w:rsidR="002674EA" w:rsidRPr="005C0F55" w:rsidRDefault="002674EA" w:rsidP="002674EA">
      <w:pPr>
        <w:keepNext/>
        <w:overflowPunct w:val="0"/>
        <w:autoSpaceDE w:val="0"/>
        <w:autoSpaceDN w:val="0"/>
        <w:adjustRightInd w:val="0"/>
        <w:spacing w:before="120"/>
        <w:ind w:left="720"/>
        <w:textAlignment w:val="baseline"/>
        <w:rPr>
          <w:b/>
          <w:i/>
          <w:color w:val="000000"/>
        </w:rPr>
      </w:pPr>
      <w:r w:rsidRPr="005C0F55">
        <w:rPr>
          <w:b/>
          <w:i/>
          <w:color w:val="000000"/>
        </w:rPr>
        <w:t>Objective—</w:t>
      </w:r>
      <w:r w:rsidRPr="005C0F55">
        <w:rPr>
          <w:color w:val="000000"/>
        </w:rPr>
        <w:t xml:space="preserve">Use calibrated groundwater models to assess groundwater availability for Kaua‘i, O‘ahu, and Maui. </w:t>
      </w:r>
      <w:r w:rsidR="00D1235C">
        <w:rPr>
          <w:color w:val="000000"/>
        </w:rPr>
        <w:t>Archive models</w:t>
      </w:r>
      <w:r w:rsidRPr="005C0F55">
        <w:rPr>
          <w:color w:val="000000"/>
        </w:rPr>
        <w:t>.</w:t>
      </w:r>
    </w:p>
    <w:p w:rsidR="002674EA" w:rsidRPr="005C0F55" w:rsidRDefault="002674EA" w:rsidP="002674EA">
      <w:pPr>
        <w:keepNext/>
        <w:overflowPunct w:val="0"/>
        <w:autoSpaceDE w:val="0"/>
        <w:autoSpaceDN w:val="0"/>
        <w:adjustRightInd w:val="0"/>
        <w:spacing w:before="120"/>
        <w:ind w:left="720"/>
        <w:textAlignment w:val="baseline"/>
        <w:rPr>
          <w:b/>
          <w:i/>
          <w:color w:val="000000"/>
        </w:rPr>
      </w:pPr>
      <w:r w:rsidRPr="005C0F55">
        <w:rPr>
          <w:b/>
          <w:i/>
          <w:color w:val="000000"/>
        </w:rPr>
        <w:t xml:space="preserve">Planned Activities for </w:t>
      </w:r>
      <w:r w:rsidR="00E23C8A">
        <w:rPr>
          <w:b/>
          <w:i/>
          <w:color w:val="000000"/>
        </w:rPr>
        <w:t>FY 2</w:t>
      </w:r>
      <w:r w:rsidRPr="005C0F55">
        <w:rPr>
          <w:b/>
          <w:i/>
          <w:color w:val="000000"/>
        </w:rPr>
        <w:t>01</w:t>
      </w:r>
      <w:r>
        <w:rPr>
          <w:b/>
          <w:i/>
          <w:color w:val="000000"/>
        </w:rPr>
        <w:t>8</w:t>
      </w:r>
    </w:p>
    <w:p w:rsidR="002674EA" w:rsidRPr="005C0F55" w:rsidRDefault="002674EA" w:rsidP="002674EA">
      <w:pPr>
        <w:numPr>
          <w:ilvl w:val="0"/>
          <w:numId w:val="21"/>
        </w:numPr>
        <w:overflowPunct w:val="0"/>
        <w:autoSpaceDE w:val="0"/>
        <w:autoSpaceDN w:val="0"/>
        <w:adjustRightInd w:val="0"/>
        <w:spacing w:before="120"/>
        <w:textAlignment w:val="baseline"/>
        <w:rPr>
          <w:iCs/>
          <w:color w:val="000000"/>
        </w:rPr>
      </w:pPr>
      <w:r>
        <w:rPr>
          <w:iCs/>
          <w:color w:val="000000"/>
        </w:rPr>
        <w:t>F</w:t>
      </w:r>
      <w:r w:rsidRPr="00BA1509">
        <w:rPr>
          <w:iCs/>
          <w:color w:val="000000"/>
        </w:rPr>
        <w:t>or Kaua‘i, O‘ahu, and Maui</w:t>
      </w:r>
      <w:r>
        <w:rPr>
          <w:iCs/>
          <w:color w:val="000000"/>
        </w:rPr>
        <w:t>, s</w:t>
      </w:r>
      <w:r w:rsidRPr="005C0F55">
        <w:rPr>
          <w:iCs/>
          <w:color w:val="000000"/>
        </w:rPr>
        <w:t xml:space="preserve">imulate current and predevelopment conditions and compare results to quantify the </w:t>
      </w:r>
      <w:r w:rsidRPr="00BA1509">
        <w:rPr>
          <w:iCs/>
          <w:color w:val="000000"/>
        </w:rPr>
        <w:t xml:space="preserve">water-table decline, saltwater rise, </w:t>
      </w:r>
      <w:r>
        <w:rPr>
          <w:iCs/>
          <w:color w:val="000000"/>
        </w:rPr>
        <w:t xml:space="preserve">and </w:t>
      </w:r>
      <w:r w:rsidRPr="00BA1509">
        <w:rPr>
          <w:iCs/>
          <w:color w:val="000000"/>
        </w:rPr>
        <w:t>reduction in discharge to streams and coastal ecosystems</w:t>
      </w:r>
      <w:r>
        <w:rPr>
          <w:iCs/>
          <w:color w:val="000000"/>
        </w:rPr>
        <w:t xml:space="preserve"> resulting from</w:t>
      </w:r>
      <w:r w:rsidRPr="005C0F55">
        <w:rPr>
          <w:iCs/>
          <w:color w:val="000000"/>
        </w:rPr>
        <w:t xml:space="preserve"> 150 years of historical gro</w:t>
      </w:r>
      <w:r>
        <w:rPr>
          <w:iCs/>
          <w:color w:val="000000"/>
        </w:rPr>
        <w:t>undwater withdrawal by humans.</w:t>
      </w:r>
    </w:p>
    <w:p w:rsidR="002674EA" w:rsidRPr="005C0F55" w:rsidRDefault="002674EA" w:rsidP="002674EA">
      <w:pPr>
        <w:numPr>
          <w:ilvl w:val="0"/>
          <w:numId w:val="21"/>
        </w:numPr>
        <w:overflowPunct w:val="0"/>
        <w:autoSpaceDE w:val="0"/>
        <w:autoSpaceDN w:val="0"/>
        <w:adjustRightInd w:val="0"/>
        <w:spacing w:before="120"/>
        <w:textAlignment w:val="baseline"/>
        <w:rPr>
          <w:iCs/>
          <w:color w:val="000000"/>
        </w:rPr>
      </w:pPr>
      <w:r w:rsidRPr="005C0F55">
        <w:rPr>
          <w:iCs/>
          <w:color w:val="000000"/>
        </w:rPr>
        <w:t>For O‘ahu, estimate changes in groundwater recharge that are likely to result from</w:t>
      </w:r>
      <w:r w:rsidR="00D2422A">
        <w:rPr>
          <w:iCs/>
          <w:color w:val="000000"/>
        </w:rPr>
        <w:t xml:space="preserve"> rainfall</w:t>
      </w:r>
      <w:r w:rsidRPr="005C0F55">
        <w:rPr>
          <w:iCs/>
          <w:color w:val="000000"/>
        </w:rPr>
        <w:t xml:space="preserve"> </w:t>
      </w:r>
      <w:r w:rsidR="00D2422A">
        <w:rPr>
          <w:iCs/>
          <w:color w:val="000000"/>
        </w:rPr>
        <w:t xml:space="preserve">changes </w:t>
      </w:r>
      <w:r w:rsidRPr="00535BEC">
        <w:rPr>
          <w:iCs/>
          <w:color w:val="000000"/>
        </w:rPr>
        <w:t>(using the most current information from climate modelers)</w:t>
      </w:r>
      <w:r>
        <w:rPr>
          <w:iCs/>
          <w:color w:val="000000"/>
        </w:rPr>
        <w:t xml:space="preserve"> </w:t>
      </w:r>
      <w:r w:rsidRPr="005C0F55">
        <w:rPr>
          <w:iCs/>
          <w:color w:val="000000"/>
        </w:rPr>
        <w:t>and land-use changes</w:t>
      </w:r>
      <w:r>
        <w:t xml:space="preserve"> </w:t>
      </w:r>
      <w:r w:rsidRPr="00535BEC">
        <w:rPr>
          <w:iCs/>
          <w:color w:val="000000"/>
        </w:rPr>
        <w:t>to about mid 21st century</w:t>
      </w:r>
      <w:r w:rsidRPr="005C0F55">
        <w:rPr>
          <w:iCs/>
          <w:color w:val="000000"/>
        </w:rPr>
        <w:t>. Simulate these changes in the O‘ahu groundwater model to assess the possible impact of climate change and land use on future groundwater availability</w:t>
      </w:r>
      <w:r>
        <w:rPr>
          <w:iCs/>
          <w:color w:val="000000"/>
        </w:rPr>
        <w:t>.</w:t>
      </w:r>
    </w:p>
    <w:p w:rsidR="002674EA" w:rsidRDefault="002674EA" w:rsidP="002674EA">
      <w:pPr>
        <w:numPr>
          <w:ilvl w:val="0"/>
          <w:numId w:val="21"/>
        </w:numPr>
        <w:overflowPunct w:val="0"/>
        <w:autoSpaceDE w:val="0"/>
        <w:autoSpaceDN w:val="0"/>
        <w:adjustRightInd w:val="0"/>
        <w:spacing w:before="120"/>
        <w:textAlignment w:val="baseline"/>
        <w:rPr>
          <w:iCs/>
          <w:color w:val="000000"/>
        </w:rPr>
      </w:pPr>
      <w:r w:rsidRPr="005C0F55">
        <w:rPr>
          <w:iCs/>
          <w:color w:val="000000"/>
        </w:rPr>
        <w:t xml:space="preserve">Work with the Honolulu Board of Water Supply (HBWS) to project the quantity and location of increases in groundwater withdrawal </w:t>
      </w:r>
      <w:r>
        <w:rPr>
          <w:iCs/>
          <w:color w:val="000000"/>
        </w:rPr>
        <w:t>f</w:t>
      </w:r>
      <w:r w:rsidRPr="00535BEC">
        <w:rPr>
          <w:iCs/>
          <w:color w:val="000000"/>
        </w:rPr>
        <w:t xml:space="preserve">or O‘ahu </w:t>
      </w:r>
      <w:r w:rsidRPr="005C0F55">
        <w:rPr>
          <w:iCs/>
          <w:color w:val="000000"/>
        </w:rPr>
        <w:t>to about mid 21</w:t>
      </w:r>
      <w:r w:rsidRPr="005C0F55">
        <w:rPr>
          <w:iCs/>
          <w:color w:val="000000"/>
          <w:vertAlign w:val="superscript"/>
        </w:rPr>
        <w:t>st</w:t>
      </w:r>
      <w:r w:rsidRPr="005C0F55">
        <w:rPr>
          <w:iCs/>
          <w:color w:val="000000"/>
        </w:rPr>
        <w:t xml:space="preserve"> century. </w:t>
      </w:r>
      <w:r w:rsidRPr="00535BEC">
        <w:rPr>
          <w:iCs/>
          <w:color w:val="000000"/>
        </w:rPr>
        <w:t>Simulate these changes in the O‘ahu groundwa</w:t>
      </w:r>
      <w:r>
        <w:rPr>
          <w:iCs/>
          <w:color w:val="000000"/>
        </w:rPr>
        <w:t>ter model to assess the</w:t>
      </w:r>
      <w:r w:rsidRPr="00535BEC">
        <w:rPr>
          <w:iCs/>
          <w:color w:val="000000"/>
        </w:rPr>
        <w:t xml:space="preserve"> impac</w:t>
      </w:r>
      <w:r>
        <w:rPr>
          <w:iCs/>
          <w:color w:val="000000"/>
        </w:rPr>
        <w:t>t</w:t>
      </w:r>
      <w:r w:rsidRPr="00535BEC">
        <w:rPr>
          <w:iCs/>
          <w:color w:val="000000"/>
        </w:rPr>
        <w:t xml:space="preserve"> on fu</w:t>
      </w:r>
      <w:r>
        <w:rPr>
          <w:iCs/>
          <w:color w:val="000000"/>
        </w:rPr>
        <w:t>ture groundwater availability.</w:t>
      </w:r>
    </w:p>
    <w:p w:rsidR="00D2422A" w:rsidRPr="00C47629" w:rsidRDefault="00D2422A" w:rsidP="002674EA">
      <w:pPr>
        <w:numPr>
          <w:ilvl w:val="0"/>
          <w:numId w:val="21"/>
        </w:numPr>
        <w:overflowPunct w:val="0"/>
        <w:autoSpaceDE w:val="0"/>
        <w:autoSpaceDN w:val="0"/>
        <w:adjustRightInd w:val="0"/>
        <w:spacing w:before="120"/>
        <w:textAlignment w:val="baseline"/>
        <w:rPr>
          <w:iCs/>
          <w:color w:val="000000"/>
        </w:rPr>
      </w:pPr>
      <w:r>
        <w:rPr>
          <w:iCs/>
          <w:color w:val="000000"/>
        </w:rPr>
        <w:t>Simulate the combined effect of changes in rainfall, land use, and groundwater withdrawal.</w:t>
      </w:r>
    </w:p>
    <w:p w:rsidR="002674EA" w:rsidRDefault="00CA0CC9" w:rsidP="002674EA">
      <w:pPr>
        <w:numPr>
          <w:ilvl w:val="0"/>
          <w:numId w:val="21"/>
        </w:numPr>
        <w:overflowPunct w:val="0"/>
        <w:autoSpaceDE w:val="0"/>
        <w:autoSpaceDN w:val="0"/>
        <w:adjustRightInd w:val="0"/>
        <w:spacing w:before="120"/>
        <w:textAlignment w:val="baseline"/>
        <w:rPr>
          <w:iCs/>
          <w:color w:val="000000"/>
        </w:rPr>
      </w:pPr>
      <w:r>
        <w:rPr>
          <w:iCs/>
          <w:color w:val="000000"/>
        </w:rPr>
        <w:t>Prepare a</w:t>
      </w:r>
      <w:r w:rsidR="002674EA" w:rsidRPr="005C0F55">
        <w:rPr>
          <w:iCs/>
          <w:color w:val="000000"/>
        </w:rPr>
        <w:t xml:space="preserve"> </w:t>
      </w:r>
      <w:r>
        <w:rPr>
          <w:iCs/>
          <w:color w:val="000000"/>
        </w:rPr>
        <w:t xml:space="preserve">bureau-approved </w:t>
      </w:r>
      <w:r w:rsidR="002674EA" w:rsidRPr="005C0F55">
        <w:rPr>
          <w:iCs/>
          <w:color w:val="000000"/>
        </w:rPr>
        <w:t>draft Professional Paper describing methods of model creation and calibration.</w:t>
      </w:r>
    </w:p>
    <w:p w:rsidR="00D1235C" w:rsidRPr="005C0F55" w:rsidRDefault="00D1235C" w:rsidP="002674EA">
      <w:pPr>
        <w:numPr>
          <w:ilvl w:val="0"/>
          <w:numId w:val="21"/>
        </w:numPr>
        <w:overflowPunct w:val="0"/>
        <w:autoSpaceDE w:val="0"/>
        <w:autoSpaceDN w:val="0"/>
        <w:adjustRightInd w:val="0"/>
        <w:spacing w:before="120"/>
        <w:textAlignment w:val="baseline"/>
        <w:rPr>
          <w:iCs/>
          <w:color w:val="000000"/>
        </w:rPr>
      </w:pPr>
      <w:r>
        <w:rPr>
          <w:iCs/>
          <w:color w:val="000000"/>
        </w:rPr>
        <w:t>Archive groundwater models and data sets used in the analysis.</w:t>
      </w:r>
    </w:p>
    <w:p w:rsidR="002674EA" w:rsidRDefault="002674EA" w:rsidP="002674EA">
      <w:pPr>
        <w:overflowPunct w:val="0"/>
        <w:autoSpaceDE w:val="0"/>
        <w:autoSpaceDN w:val="0"/>
        <w:adjustRightInd w:val="0"/>
        <w:spacing w:before="120"/>
        <w:ind w:left="720"/>
        <w:textAlignment w:val="baseline"/>
        <w:rPr>
          <w:iCs/>
          <w:color w:val="000000"/>
        </w:rPr>
      </w:pPr>
      <w:r w:rsidRPr="005C0F55">
        <w:rPr>
          <w:b/>
          <w:i/>
          <w:color w:val="000000"/>
        </w:rPr>
        <w:t xml:space="preserve">Planned goals/products for </w:t>
      </w:r>
      <w:r w:rsidR="00E23C8A">
        <w:rPr>
          <w:b/>
          <w:i/>
          <w:color w:val="000000"/>
        </w:rPr>
        <w:t>FY 2</w:t>
      </w:r>
      <w:r w:rsidRPr="005C0F55">
        <w:rPr>
          <w:b/>
          <w:i/>
          <w:color w:val="000000"/>
        </w:rPr>
        <w:t>01</w:t>
      </w:r>
      <w:r w:rsidR="00D11AC6">
        <w:rPr>
          <w:b/>
          <w:i/>
          <w:color w:val="000000"/>
        </w:rPr>
        <w:t>8</w:t>
      </w:r>
      <w:r w:rsidRPr="005C0F55">
        <w:rPr>
          <w:b/>
          <w:i/>
          <w:color w:val="000000"/>
        </w:rPr>
        <w:t>—</w:t>
      </w:r>
      <w:r w:rsidRPr="005C0F55">
        <w:rPr>
          <w:iCs/>
          <w:color w:val="000000"/>
        </w:rPr>
        <w:t>Completion of the numerical-model analyses of groundwater availability</w:t>
      </w:r>
      <w:r w:rsidR="00D1235C">
        <w:rPr>
          <w:iCs/>
          <w:color w:val="000000"/>
        </w:rPr>
        <w:t>. Archived groundwater models.</w:t>
      </w:r>
    </w:p>
    <w:p w:rsidR="00722C13" w:rsidRDefault="00722C13" w:rsidP="002674EA">
      <w:pPr>
        <w:overflowPunct w:val="0"/>
        <w:autoSpaceDE w:val="0"/>
        <w:autoSpaceDN w:val="0"/>
        <w:adjustRightInd w:val="0"/>
        <w:spacing w:before="120"/>
        <w:ind w:left="720"/>
        <w:textAlignment w:val="baseline"/>
        <w:rPr>
          <w:iCs/>
          <w:color w:val="000000"/>
        </w:rPr>
      </w:pPr>
    </w:p>
    <w:p w:rsidR="00CA0CC9" w:rsidRPr="005C0F55" w:rsidRDefault="00D1235C" w:rsidP="00CA0CC9">
      <w:pPr>
        <w:keepNext/>
        <w:ind w:left="720" w:hanging="360"/>
        <w:rPr>
          <w:rFonts w:ascii="Arial" w:hAnsi="Arial" w:cs="Arial"/>
          <w:b/>
          <w:color w:val="000000"/>
        </w:rPr>
      </w:pPr>
      <w:r>
        <w:rPr>
          <w:rFonts w:ascii="Arial" w:hAnsi="Arial" w:cs="Arial"/>
          <w:b/>
          <w:color w:val="000000"/>
        </w:rPr>
        <w:t>C</w:t>
      </w:r>
      <w:r w:rsidR="00CA0CC9">
        <w:rPr>
          <w:rFonts w:ascii="Arial" w:hAnsi="Arial" w:cs="Arial"/>
          <w:b/>
          <w:color w:val="000000"/>
        </w:rPr>
        <w:t>.</w:t>
      </w:r>
      <w:r w:rsidR="00CA0CC9">
        <w:rPr>
          <w:rFonts w:ascii="Arial" w:hAnsi="Arial" w:cs="Arial"/>
          <w:b/>
          <w:color w:val="000000"/>
        </w:rPr>
        <w:tab/>
      </w:r>
      <w:r>
        <w:rPr>
          <w:rFonts w:ascii="Arial" w:hAnsi="Arial" w:cs="Arial"/>
          <w:b/>
          <w:color w:val="000000"/>
        </w:rPr>
        <w:t>Prepare a Professional Paper and summary Fact Sheet describing</w:t>
      </w:r>
      <w:r w:rsidRPr="00D1235C">
        <w:rPr>
          <w:rFonts w:ascii="Arial" w:hAnsi="Arial" w:cs="Arial"/>
          <w:b/>
          <w:color w:val="000000"/>
        </w:rPr>
        <w:t xml:space="preserve"> the results of groundwater-availability analysis.</w:t>
      </w:r>
      <w:r>
        <w:rPr>
          <w:rFonts w:ascii="Arial" w:hAnsi="Arial" w:cs="Arial"/>
          <w:b/>
          <w:color w:val="000000"/>
        </w:rPr>
        <w:t xml:space="preserve"> </w:t>
      </w:r>
    </w:p>
    <w:p w:rsidR="00CA0CC9" w:rsidRPr="005C0F55" w:rsidRDefault="00CA0CC9" w:rsidP="00CA0CC9">
      <w:pPr>
        <w:keepNext/>
        <w:overflowPunct w:val="0"/>
        <w:autoSpaceDE w:val="0"/>
        <w:autoSpaceDN w:val="0"/>
        <w:adjustRightInd w:val="0"/>
        <w:spacing w:before="120"/>
        <w:ind w:left="720"/>
        <w:textAlignment w:val="baseline"/>
        <w:rPr>
          <w:color w:val="000000"/>
        </w:rPr>
      </w:pPr>
      <w:r w:rsidRPr="005C0F55">
        <w:rPr>
          <w:b/>
          <w:i/>
          <w:color w:val="000000"/>
        </w:rPr>
        <w:t>Objective—</w:t>
      </w:r>
      <w:r w:rsidRPr="005C0F55">
        <w:rPr>
          <w:color w:val="000000"/>
        </w:rPr>
        <w:t xml:space="preserve">Prepare a Bureau-approved draft </w:t>
      </w:r>
      <w:r w:rsidR="00D1235C">
        <w:rPr>
          <w:color w:val="000000"/>
        </w:rPr>
        <w:t>Professional Paper</w:t>
      </w:r>
      <w:r w:rsidRPr="005C0F55">
        <w:rPr>
          <w:color w:val="000000"/>
        </w:rPr>
        <w:t xml:space="preserve"> describing model construction and calibration</w:t>
      </w:r>
      <w:r w:rsidR="00D1235C">
        <w:rPr>
          <w:color w:val="000000"/>
        </w:rPr>
        <w:t>.</w:t>
      </w:r>
    </w:p>
    <w:p w:rsidR="00CA0CC9" w:rsidRPr="005C0F55" w:rsidRDefault="00CA0CC9" w:rsidP="00CA0CC9">
      <w:pPr>
        <w:keepNext/>
        <w:overflowPunct w:val="0"/>
        <w:autoSpaceDE w:val="0"/>
        <w:autoSpaceDN w:val="0"/>
        <w:adjustRightInd w:val="0"/>
        <w:spacing w:before="120"/>
        <w:ind w:left="720"/>
        <w:textAlignment w:val="baseline"/>
        <w:rPr>
          <w:b/>
          <w:i/>
          <w:color w:val="000000"/>
        </w:rPr>
      </w:pPr>
      <w:r w:rsidRPr="005C0F55">
        <w:rPr>
          <w:b/>
          <w:i/>
          <w:color w:val="000000"/>
        </w:rPr>
        <w:t xml:space="preserve">Planned Activities for </w:t>
      </w:r>
      <w:r w:rsidR="00E23C8A">
        <w:rPr>
          <w:b/>
          <w:i/>
          <w:color w:val="000000"/>
        </w:rPr>
        <w:t>FY 2</w:t>
      </w:r>
      <w:r>
        <w:rPr>
          <w:b/>
          <w:i/>
          <w:color w:val="000000"/>
        </w:rPr>
        <w:t>018</w:t>
      </w:r>
    </w:p>
    <w:p w:rsidR="00CA0CC9" w:rsidRPr="005C0F55" w:rsidRDefault="00CA0CC9" w:rsidP="00CA0CC9">
      <w:pPr>
        <w:numPr>
          <w:ilvl w:val="0"/>
          <w:numId w:val="21"/>
        </w:numPr>
        <w:overflowPunct w:val="0"/>
        <w:autoSpaceDE w:val="0"/>
        <w:autoSpaceDN w:val="0"/>
        <w:adjustRightInd w:val="0"/>
        <w:spacing w:before="120"/>
        <w:textAlignment w:val="baseline"/>
        <w:rPr>
          <w:iCs/>
          <w:color w:val="000000"/>
        </w:rPr>
      </w:pPr>
      <w:r w:rsidRPr="005C0F55">
        <w:rPr>
          <w:iCs/>
          <w:color w:val="000000"/>
        </w:rPr>
        <w:t>Complete draft report</w:t>
      </w:r>
    </w:p>
    <w:p w:rsidR="00CA0CC9" w:rsidRPr="005C0F55" w:rsidRDefault="00CA0CC9" w:rsidP="00CA0CC9">
      <w:pPr>
        <w:numPr>
          <w:ilvl w:val="0"/>
          <w:numId w:val="21"/>
        </w:numPr>
        <w:overflowPunct w:val="0"/>
        <w:autoSpaceDE w:val="0"/>
        <w:autoSpaceDN w:val="0"/>
        <w:adjustRightInd w:val="0"/>
        <w:spacing w:before="120"/>
        <w:textAlignment w:val="baseline"/>
        <w:rPr>
          <w:iCs/>
          <w:color w:val="000000"/>
        </w:rPr>
      </w:pPr>
      <w:r w:rsidRPr="005C0F55">
        <w:rPr>
          <w:iCs/>
          <w:color w:val="000000"/>
        </w:rPr>
        <w:t>Submit draft for peer review; revise</w:t>
      </w:r>
    </w:p>
    <w:p w:rsidR="00CA0CC9" w:rsidRPr="005C0F55" w:rsidRDefault="00CA0CC9" w:rsidP="00CA0CC9">
      <w:pPr>
        <w:numPr>
          <w:ilvl w:val="0"/>
          <w:numId w:val="21"/>
        </w:numPr>
        <w:overflowPunct w:val="0"/>
        <w:autoSpaceDE w:val="0"/>
        <w:autoSpaceDN w:val="0"/>
        <w:adjustRightInd w:val="0"/>
        <w:spacing w:before="120"/>
        <w:textAlignment w:val="baseline"/>
        <w:rPr>
          <w:iCs/>
          <w:color w:val="000000"/>
        </w:rPr>
      </w:pPr>
      <w:r w:rsidRPr="005C0F55">
        <w:rPr>
          <w:iCs/>
          <w:color w:val="000000"/>
        </w:rPr>
        <w:t>Archive models and data sets</w:t>
      </w:r>
    </w:p>
    <w:p w:rsidR="00CA0CC9" w:rsidRPr="005C0F55" w:rsidRDefault="00CA0CC9" w:rsidP="00CA0CC9">
      <w:pPr>
        <w:numPr>
          <w:ilvl w:val="0"/>
          <w:numId w:val="21"/>
        </w:numPr>
        <w:overflowPunct w:val="0"/>
        <w:autoSpaceDE w:val="0"/>
        <w:autoSpaceDN w:val="0"/>
        <w:adjustRightInd w:val="0"/>
        <w:spacing w:before="120"/>
        <w:textAlignment w:val="baseline"/>
        <w:rPr>
          <w:iCs/>
          <w:color w:val="000000"/>
        </w:rPr>
      </w:pPr>
      <w:r w:rsidRPr="005C0F55">
        <w:rPr>
          <w:iCs/>
          <w:color w:val="000000"/>
        </w:rPr>
        <w:t>Submit report for Bureau a</w:t>
      </w:r>
      <w:r>
        <w:rPr>
          <w:iCs/>
          <w:color w:val="000000"/>
        </w:rPr>
        <w:t>pproval</w:t>
      </w:r>
      <w:r w:rsidRPr="005C0F55">
        <w:rPr>
          <w:iCs/>
          <w:color w:val="000000"/>
        </w:rPr>
        <w:t xml:space="preserve"> </w:t>
      </w:r>
    </w:p>
    <w:p w:rsidR="00CA0CC9" w:rsidRPr="005C0F55" w:rsidRDefault="00CA0CC9" w:rsidP="0040335E">
      <w:pPr>
        <w:overflowPunct w:val="0"/>
        <w:autoSpaceDE w:val="0"/>
        <w:autoSpaceDN w:val="0"/>
        <w:adjustRightInd w:val="0"/>
        <w:spacing w:before="120"/>
        <w:ind w:left="720"/>
        <w:textAlignment w:val="baseline"/>
        <w:rPr>
          <w:b/>
          <w:i/>
          <w:color w:val="000000"/>
        </w:rPr>
      </w:pPr>
      <w:r w:rsidRPr="005C0F55">
        <w:rPr>
          <w:b/>
          <w:i/>
          <w:color w:val="000000"/>
        </w:rPr>
        <w:t xml:space="preserve">Planned goals/products for </w:t>
      </w:r>
      <w:r w:rsidR="00E23C8A">
        <w:rPr>
          <w:b/>
          <w:i/>
          <w:color w:val="000000"/>
        </w:rPr>
        <w:t>FY 2</w:t>
      </w:r>
      <w:r w:rsidRPr="005C0F55">
        <w:rPr>
          <w:b/>
          <w:i/>
          <w:color w:val="000000"/>
        </w:rPr>
        <w:t>01</w:t>
      </w:r>
      <w:r>
        <w:rPr>
          <w:b/>
          <w:i/>
          <w:color w:val="000000"/>
        </w:rPr>
        <w:t>8</w:t>
      </w:r>
      <w:r w:rsidRPr="005C0F55">
        <w:rPr>
          <w:b/>
          <w:i/>
          <w:color w:val="000000"/>
        </w:rPr>
        <w:t>—</w:t>
      </w:r>
      <w:r w:rsidR="00D1235C">
        <w:rPr>
          <w:iCs/>
          <w:color w:val="000000"/>
        </w:rPr>
        <w:t>Bureau-approved Professional Paper and Fact Sheet</w:t>
      </w:r>
      <w:r w:rsidRPr="005C0F55">
        <w:rPr>
          <w:color w:val="000000"/>
        </w:rPr>
        <w:t>.</w:t>
      </w:r>
    </w:p>
    <w:p w:rsidR="002674EA" w:rsidRPr="005C0F55" w:rsidRDefault="00D1235C" w:rsidP="00D1235C">
      <w:pPr>
        <w:keepNext/>
        <w:ind w:left="720" w:hanging="360"/>
        <w:rPr>
          <w:rFonts w:ascii="Arial" w:hAnsi="Arial" w:cs="Arial"/>
          <w:b/>
          <w:color w:val="000000"/>
        </w:rPr>
      </w:pPr>
      <w:r>
        <w:rPr>
          <w:rFonts w:ascii="Arial" w:hAnsi="Arial" w:cs="Arial"/>
          <w:b/>
          <w:color w:val="000000"/>
        </w:rPr>
        <w:lastRenderedPageBreak/>
        <w:t>D</w:t>
      </w:r>
      <w:r w:rsidR="002674EA" w:rsidRPr="005C0F55">
        <w:rPr>
          <w:rFonts w:ascii="Arial" w:hAnsi="Arial" w:cs="Arial"/>
          <w:b/>
          <w:color w:val="000000"/>
        </w:rPr>
        <w:t>.</w:t>
      </w:r>
      <w:r w:rsidR="002674EA" w:rsidRPr="005C0F55">
        <w:rPr>
          <w:color w:val="000000"/>
        </w:rPr>
        <w:tab/>
      </w:r>
      <w:r w:rsidR="002674EA" w:rsidRPr="005C0F55">
        <w:rPr>
          <w:rFonts w:ascii="Arial" w:hAnsi="Arial" w:cs="Arial"/>
          <w:b/>
          <w:color w:val="000000"/>
        </w:rPr>
        <w:t>Continue communication and outreach with stakeholders and the community</w:t>
      </w:r>
    </w:p>
    <w:p w:rsidR="002674EA" w:rsidRPr="005C0F55" w:rsidRDefault="002674EA" w:rsidP="002674EA">
      <w:pPr>
        <w:keepNext/>
        <w:overflowPunct w:val="0"/>
        <w:autoSpaceDE w:val="0"/>
        <w:autoSpaceDN w:val="0"/>
        <w:adjustRightInd w:val="0"/>
        <w:spacing w:before="120"/>
        <w:ind w:left="720"/>
        <w:textAlignment w:val="baseline"/>
        <w:rPr>
          <w:b/>
          <w:i/>
          <w:color w:val="000000"/>
        </w:rPr>
      </w:pPr>
      <w:r w:rsidRPr="005C0F55">
        <w:rPr>
          <w:b/>
          <w:i/>
          <w:color w:val="000000"/>
        </w:rPr>
        <w:t>Objective—</w:t>
      </w:r>
      <w:r w:rsidRPr="009515F0">
        <w:rPr>
          <w:color w:val="000000"/>
        </w:rPr>
        <w:t>Disseminate results to stakeholders and other interested parties</w:t>
      </w:r>
      <w:r w:rsidRPr="005C0F55">
        <w:rPr>
          <w:color w:val="000000"/>
        </w:rPr>
        <w:t>.</w:t>
      </w:r>
    </w:p>
    <w:p w:rsidR="002674EA" w:rsidRPr="005C0F55" w:rsidRDefault="002674EA" w:rsidP="002674EA">
      <w:pPr>
        <w:keepNext/>
        <w:overflowPunct w:val="0"/>
        <w:autoSpaceDE w:val="0"/>
        <w:autoSpaceDN w:val="0"/>
        <w:adjustRightInd w:val="0"/>
        <w:spacing w:before="120"/>
        <w:ind w:left="720"/>
        <w:textAlignment w:val="baseline"/>
        <w:rPr>
          <w:b/>
          <w:i/>
          <w:color w:val="000000"/>
        </w:rPr>
      </w:pPr>
      <w:r w:rsidRPr="005C0F55">
        <w:rPr>
          <w:b/>
          <w:i/>
          <w:color w:val="000000"/>
        </w:rPr>
        <w:t xml:space="preserve">Planned Activities for </w:t>
      </w:r>
      <w:r w:rsidR="00E23C8A">
        <w:rPr>
          <w:b/>
          <w:i/>
          <w:color w:val="000000"/>
        </w:rPr>
        <w:t>FY 2</w:t>
      </w:r>
      <w:r w:rsidRPr="005C0F55">
        <w:rPr>
          <w:b/>
          <w:i/>
          <w:color w:val="000000"/>
        </w:rPr>
        <w:t>01</w:t>
      </w:r>
      <w:r w:rsidR="00D1235C">
        <w:rPr>
          <w:b/>
          <w:i/>
          <w:color w:val="000000"/>
        </w:rPr>
        <w:t>8</w:t>
      </w:r>
    </w:p>
    <w:p w:rsidR="002674EA" w:rsidRPr="005C0F55" w:rsidRDefault="002674EA" w:rsidP="002674EA">
      <w:pPr>
        <w:numPr>
          <w:ilvl w:val="0"/>
          <w:numId w:val="21"/>
        </w:numPr>
        <w:overflowPunct w:val="0"/>
        <w:autoSpaceDE w:val="0"/>
        <w:autoSpaceDN w:val="0"/>
        <w:adjustRightInd w:val="0"/>
        <w:spacing w:before="120"/>
        <w:textAlignment w:val="baseline"/>
        <w:rPr>
          <w:iCs/>
          <w:color w:val="000000"/>
        </w:rPr>
      </w:pPr>
      <w:r w:rsidRPr="005C0F55">
        <w:rPr>
          <w:iCs/>
          <w:color w:val="000000"/>
        </w:rPr>
        <w:t xml:space="preserve">Continue communicating and collaborating with stakeholders to ensure project outcomes are relevant to those responsible for managing Hawai‘i’s groundwater. </w:t>
      </w:r>
    </w:p>
    <w:p w:rsidR="002674EA" w:rsidRDefault="002674EA" w:rsidP="002674EA">
      <w:pPr>
        <w:numPr>
          <w:ilvl w:val="0"/>
          <w:numId w:val="21"/>
        </w:numPr>
        <w:overflowPunct w:val="0"/>
        <w:autoSpaceDE w:val="0"/>
        <w:autoSpaceDN w:val="0"/>
        <w:adjustRightInd w:val="0"/>
        <w:spacing w:before="120"/>
        <w:textAlignment w:val="baseline"/>
        <w:rPr>
          <w:iCs/>
          <w:color w:val="000000"/>
        </w:rPr>
      </w:pPr>
      <w:r w:rsidRPr="005C0F55">
        <w:rPr>
          <w:iCs/>
          <w:color w:val="000000"/>
        </w:rPr>
        <w:t>Continue informing stakeholders and the community of new information products as they come available.</w:t>
      </w:r>
    </w:p>
    <w:p w:rsidR="002674EA" w:rsidRPr="005C0F55" w:rsidRDefault="002674EA" w:rsidP="002674EA">
      <w:pPr>
        <w:numPr>
          <w:ilvl w:val="0"/>
          <w:numId w:val="21"/>
        </w:numPr>
        <w:overflowPunct w:val="0"/>
        <w:autoSpaceDE w:val="0"/>
        <w:autoSpaceDN w:val="0"/>
        <w:adjustRightInd w:val="0"/>
        <w:spacing w:before="120"/>
        <w:textAlignment w:val="baseline"/>
        <w:rPr>
          <w:iCs/>
          <w:color w:val="000000"/>
        </w:rPr>
      </w:pPr>
      <w:r>
        <w:rPr>
          <w:iCs/>
          <w:color w:val="000000"/>
        </w:rPr>
        <w:t xml:space="preserve">Give technical presentations at conferences to engage and benefit </w:t>
      </w:r>
      <w:r w:rsidR="00AD4BD7">
        <w:rPr>
          <w:iCs/>
          <w:color w:val="000000"/>
        </w:rPr>
        <w:t>from feedback from</w:t>
      </w:r>
      <w:r>
        <w:rPr>
          <w:iCs/>
          <w:color w:val="000000"/>
        </w:rPr>
        <w:t xml:space="preserve"> other </w:t>
      </w:r>
      <w:r w:rsidR="00AD4BD7">
        <w:rPr>
          <w:iCs/>
          <w:color w:val="000000"/>
        </w:rPr>
        <w:t xml:space="preserve">hydrologists and </w:t>
      </w:r>
      <w:r>
        <w:rPr>
          <w:iCs/>
          <w:color w:val="000000"/>
        </w:rPr>
        <w:t xml:space="preserve">water-resources professionals. </w:t>
      </w:r>
    </w:p>
    <w:p w:rsidR="002674EA" w:rsidRPr="005C0F55" w:rsidRDefault="002674EA" w:rsidP="002674EA">
      <w:pPr>
        <w:numPr>
          <w:ilvl w:val="0"/>
          <w:numId w:val="21"/>
        </w:numPr>
        <w:overflowPunct w:val="0"/>
        <w:autoSpaceDE w:val="0"/>
        <w:autoSpaceDN w:val="0"/>
        <w:adjustRightInd w:val="0"/>
        <w:spacing w:before="120"/>
        <w:textAlignment w:val="baseline"/>
        <w:rPr>
          <w:iCs/>
          <w:color w:val="000000"/>
        </w:rPr>
      </w:pPr>
      <w:r w:rsidRPr="005C0F55">
        <w:rPr>
          <w:iCs/>
          <w:color w:val="000000"/>
        </w:rPr>
        <w:t>Continue updating project’s website.</w:t>
      </w:r>
    </w:p>
    <w:p w:rsidR="002674EA" w:rsidRPr="005C0F55" w:rsidRDefault="002674EA" w:rsidP="002674EA">
      <w:pPr>
        <w:keepNext/>
        <w:overflowPunct w:val="0"/>
        <w:autoSpaceDE w:val="0"/>
        <w:autoSpaceDN w:val="0"/>
        <w:adjustRightInd w:val="0"/>
        <w:spacing w:before="120"/>
        <w:ind w:left="720"/>
        <w:textAlignment w:val="baseline"/>
        <w:rPr>
          <w:color w:val="000000"/>
        </w:rPr>
      </w:pPr>
      <w:r w:rsidRPr="005C0F55">
        <w:rPr>
          <w:b/>
          <w:i/>
          <w:color w:val="000000"/>
        </w:rPr>
        <w:t>Planned goals/products for 201</w:t>
      </w:r>
      <w:r w:rsidR="00D1235C">
        <w:rPr>
          <w:b/>
          <w:i/>
          <w:color w:val="000000"/>
        </w:rPr>
        <w:t>8</w:t>
      </w:r>
      <w:r w:rsidRPr="005C0F55">
        <w:rPr>
          <w:b/>
          <w:i/>
          <w:color w:val="000000"/>
        </w:rPr>
        <w:t xml:space="preserve"> —</w:t>
      </w:r>
      <w:r w:rsidRPr="005C0F55">
        <w:rPr>
          <w:iCs/>
          <w:color w:val="000000"/>
        </w:rPr>
        <w:t>Timely release of information th</w:t>
      </w:r>
      <w:r>
        <w:rPr>
          <w:iCs/>
          <w:color w:val="000000"/>
        </w:rPr>
        <w:t>r</w:t>
      </w:r>
      <w:r w:rsidRPr="005C0F55">
        <w:rPr>
          <w:iCs/>
          <w:color w:val="000000"/>
        </w:rPr>
        <w:t>ough publications, oral presentations, meetings, and the project website.</w:t>
      </w:r>
    </w:p>
    <w:p w:rsidR="00474FF6" w:rsidRDefault="00474FF6">
      <w:pPr>
        <w:rPr>
          <w:rStyle w:val="Strong"/>
          <w:color w:val="0000FF"/>
        </w:rPr>
      </w:pPr>
    </w:p>
    <w:p w:rsidR="00474FF6" w:rsidRPr="00540E4F" w:rsidRDefault="00474FF6" w:rsidP="00474FF6">
      <w:pPr>
        <w:keepNext/>
        <w:ind w:left="720" w:hanging="360"/>
        <w:rPr>
          <w:rFonts w:ascii="Arial" w:hAnsi="Arial" w:cs="Arial"/>
          <w:b/>
        </w:rPr>
      </w:pPr>
      <w:r>
        <w:rPr>
          <w:rFonts w:ascii="Arial" w:hAnsi="Arial" w:cs="Arial"/>
          <w:b/>
        </w:rPr>
        <w:t>E</w:t>
      </w:r>
      <w:r w:rsidRPr="00540E4F">
        <w:rPr>
          <w:rFonts w:ascii="Arial" w:hAnsi="Arial" w:cs="Arial"/>
          <w:b/>
        </w:rPr>
        <w:t xml:space="preserve">. </w:t>
      </w:r>
      <w:r w:rsidRPr="00474FF6">
        <w:rPr>
          <w:rFonts w:ascii="Arial" w:hAnsi="Arial" w:cs="Arial"/>
          <w:b/>
          <w:color w:val="000000"/>
        </w:rPr>
        <w:t>Budget</w:t>
      </w:r>
      <w:r w:rsidRPr="00540E4F">
        <w:rPr>
          <w:rFonts w:ascii="Arial" w:hAnsi="Arial" w:cs="Arial"/>
          <w:b/>
        </w:rPr>
        <w:t xml:space="preserve"> for </w:t>
      </w:r>
      <w:r w:rsidR="00E23C8A">
        <w:rPr>
          <w:rFonts w:ascii="Arial" w:hAnsi="Arial" w:cs="Arial"/>
          <w:b/>
        </w:rPr>
        <w:t>FY 2</w:t>
      </w:r>
      <w:r w:rsidRPr="00540E4F">
        <w:rPr>
          <w:rFonts w:ascii="Arial" w:hAnsi="Arial" w:cs="Arial"/>
          <w:b/>
        </w:rPr>
        <w:t>0</w:t>
      </w:r>
      <w:r>
        <w:rPr>
          <w:rFonts w:ascii="Arial" w:hAnsi="Arial" w:cs="Arial"/>
          <w:b/>
        </w:rPr>
        <w:t>18</w:t>
      </w:r>
      <w:r w:rsidRPr="00540E4F">
        <w:rPr>
          <w:rFonts w:ascii="Arial" w:hAnsi="Arial" w:cs="Arial"/>
          <w:b/>
        </w:rPr>
        <w:t xml:space="preserve"> </w:t>
      </w:r>
    </w:p>
    <w:p w:rsidR="00474FF6" w:rsidRDefault="00474FF6" w:rsidP="00474FF6">
      <w:pPr>
        <w:pStyle w:val="paragraph"/>
        <w:ind w:left="720"/>
        <w:rPr>
          <w:iCs/>
          <w:color w:val="000000"/>
        </w:rPr>
      </w:pPr>
      <w:r w:rsidRPr="005C0F55">
        <w:rPr>
          <w:iCs/>
          <w:color w:val="000000"/>
        </w:rPr>
        <w:t>The</w:t>
      </w:r>
      <w:r>
        <w:rPr>
          <w:iCs/>
          <w:color w:val="000000"/>
        </w:rPr>
        <w:t xml:space="preserve"> </w:t>
      </w:r>
      <w:r w:rsidR="00E862D6">
        <w:rPr>
          <w:iCs/>
          <w:color w:val="000000"/>
        </w:rPr>
        <w:t>PIW</w:t>
      </w:r>
      <w:r>
        <w:rPr>
          <w:iCs/>
          <w:color w:val="000000"/>
        </w:rPr>
        <w:t>S</w:t>
      </w:r>
      <w:r w:rsidR="00E862D6">
        <w:rPr>
          <w:iCs/>
          <w:color w:val="000000"/>
        </w:rPr>
        <w:t xml:space="preserve">C </w:t>
      </w:r>
      <w:r>
        <w:rPr>
          <w:iCs/>
          <w:color w:val="000000"/>
        </w:rPr>
        <w:t>requests $106,6</w:t>
      </w:r>
      <w:r w:rsidRPr="005C0F55">
        <w:rPr>
          <w:iCs/>
          <w:color w:val="000000"/>
        </w:rPr>
        <w:t>00 to support the Hawai‘i Volcanic Aquifer study i</w:t>
      </w:r>
      <w:r>
        <w:rPr>
          <w:iCs/>
          <w:color w:val="000000"/>
        </w:rPr>
        <w:t xml:space="preserve">n </w:t>
      </w:r>
      <w:r w:rsidR="00E23C8A">
        <w:rPr>
          <w:iCs/>
          <w:color w:val="000000"/>
        </w:rPr>
        <w:t>FY 2</w:t>
      </w:r>
      <w:r>
        <w:rPr>
          <w:iCs/>
          <w:color w:val="000000"/>
        </w:rPr>
        <w:t xml:space="preserve">018 (only the Pacific Islands Water Science Center will be involved in </w:t>
      </w:r>
      <w:r w:rsidR="00E23C8A">
        <w:rPr>
          <w:iCs/>
          <w:color w:val="000000"/>
        </w:rPr>
        <w:t>FY 2</w:t>
      </w:r>
      <w:r>
        <w:rPr>
          <w:iCs/>
          <w:color w:val="000000"/>
        </w:rPr>
        <w:t xml:space="preserve">018). </w:t>
      </w:r>
      <w:r w:rsidRPr="005C0F55">
        <w:rPr>
          <w:iCs/>
          <w:color w:val="000000"/>
        </w:rPr>
        <w:t>A budget breakdown is shown in Table 1</w:t>
      </w:r>
      <w:r>
        <w:rPr>
          <w:iCs/>
          <w:color w:val="000000"/>
        </w:rPr>
        <w:t xml:space="preserve">. </w:t>
      </w:r>
    </w:p>
    <w:p w:rsidR="00DF2B03" w:rsidRDefault="00DF2B03" w:rsidP="00474FF6">
      <w:pPr>
        <w:pStyle w:val="paragraph"/>
        <w:ind w:left="720"/>
        <w:rPr>
          <w:iCs/>
          <w:color w:val="000000"/>
        </w:rPr>
      </w:pPr>
    </w:p>
    <w:p w:rsidR="00474FF6" w:rsidRDefault="00474FF6" w:rsidP="00474FF6">
      <w:pPr>
        <w:pStyle w:val="paragraph"/>
        <w:ind w:left="720"/>
        <w:rPr>
          <w:iCs/>
          <w:color w:val="000000"/>
        </w:rPr>
      </w:pPr>
    </w:p>
    <w:tbl>
      <w:tblPr>
        <w:tblW w:w="5759" w:type="dxa"/>
        <w:jc w:val="center"/>
        <w:tblInd w:w="-270" w:type="dxa"/>
        <w:tblLook w:val="04A0" w:firstRow="1" w:lastRow="0" w:firstColumn="1" w:lastColumn="0" w:noHBand="0" w:noVBand="1"/>
      </w:tblPr>
      <w:tblGrid>
        <w:gridCol w:w="4220"/>
        <w:gridCol w:w="1539"/>
      </w:tblGrid>
      <w:tr w:rsidR="00474FF6" w:rsidTr="00DF2B03">
        <w:trPr>
          <w:trHeight w:val="825"/>
          <w:jc w:val="center"/>
        </w:trPr>
        <w:tc>
          <w:tcPr>
            <w:tcW w:w="5759" w:type="dxa"/>
            <w:gridSpan w:val="2"/>
            <w:tcBorders>
              <w:top w:val="nil"/>
              <w:left w:val="nil"/>
              <w:bottom w:val="single" w:sz="4" w:space="0" w:color="auto"/>
              <w:right w:val="nil"/>
            </w:tcBorders>
            <w:shd w:val="clear" w:color="auto" w:fill="auto"/>
            <w:hideMark/>
          </w:tcPr>
          <w:p w:rsidR="00474FF6" w:rsidRDefault="00474FF6" w:rsidP="00500E92">
            <w:pPr>
              <w:rPr>
                <w:b/>
                <w:bCs/>
                <w:color w:val="000000"/>
              </w:rPr>
            </w:pPr>
            <w:r>
              <w:rPr>
                <w:b/>
                <w:bCs/>
                <w:color w:val="000000"/>
              </w:rPr>
              <w:t>Table 1</w:t>
            </w:r>
            <w:r>
              <w:rPr>
                <w:color w:val="000000"/>
              </w:rPr>
              <w:t xml:space="preserve">. Estimated funding for the Hawai‘i Volcanic Aquifer Study in </w:t>
            </w:r>
            <w:r w:rsidR="00E23C8A">
              <w:rPr>
                <w:color w:val="000000"/>
              </w:rPr>
              <w:t>FY 2</w:t>
            </w:r>
            <w:r>
              <w:rPr>
                <w:color w:val="000000"/>
              </w:rPr>
              <w:t xml:space="preserve">018. </w:t>
            </w:r>
          </w:p>
        </w:tc>
      </w:tr>
      <w:tr w:rsidR="00474FF6" w:rsidRPr="00DF2B03" w:rsidTr="00DF2B03">
        <w:trPr>
          <w:trHeight w:val="255"/>
          <w:jc w:val="center"/>
        </w:trPr>
        <w:tc>
          <w:tcPr>
            <w:tcW w:w="4220" w:type="dxa"/>
            <w:tcBorders>
              <w:top w:val="nil"/>
              <w:left w:val="nil"/>
              <w:bottom w:val="single" w:sz="4" w:space="0" w:color="auto"/>
              <w:right w:val="nil"/>
            </w:tcBorders>
            <w:shd w:val="clear" w:color="auto" w:fill="auto"/>
            <w:noWrap/>
            <w:vAlign w:val="center"/>
            <w:hideMark/>
          </w:tcPr>
          <w:p w:rsidR="00474FF6" w:rsidRPr="00DF2B03" w:rsidRDefault="00474FF6" w:rsidP="00500E92">
            <w:pPr>
              <w:rPr>
                <w:rFonts w:ascii="Arial Narrow" w:hAnsi="Arial Narrow" w:cs="Arial"/>
                <w:b/>
                <w:bCs/>
              </w:rPr>
            </w:pPr>
            <w:r w:rsidRPr="00DF2B03">
              <w:rPr>
                <w:rFonts w:ascii="Arial Narrow" w:hAnsi="Arial Narrow" w:cs="Arial"/>
                <w:b/>
                <w:bCs/>
              </w:rPr>
              <w:t>Item</w:t>
            </w:r>
          </w:p>
        </w:tc>
        <w:tc>
          <w:tcPr>
            <w:tcW w:w="1539" w:type="dxa"/>
            <w:tcBorders>
              <w:top w:val="nil"/>
              <w:left w:val="nil"/>
              <w:bottom w:val="single" w:sz="4" w:space="0" w:color="auto"/>
              <w:right w:val="nil"/>
            </w:tcBorders>
            <w:shd w:val="clear" w:color="auto" w:fill="auto"/>
            <w:noWrap/>
            <w:vAlign w:val="center"/>
            <w:hideMark/>
          </w:tcPr>
          <w:p w:rsidR="00474FF6" w:rsidRPr="00DF2B03" w:rsidRDefault="00474FF6" w:rsidP="00500E92">
            <w:pPr>
              <w:jc w:val="center"/>
              <w:rPr>
                <w:rFonts w:ascii="Arial Narrow" w:hAnsi="Arial Narrow" w:cs="Arial"/>
                <w:b/>
                <w:bCs/>
              </w:rPr>
            </w:pPr>
            <w:r w:rsidRPr="00DF2B03">
              <w:rPr>
                <w:rFonts w:ascii="Arial Narrow" w:hAnsi="Arial Narrow" w:cs="Arial"/>
                <w:b/>
                <w:bCs/>
              </w:rPr>
              <w:t>Cost</w:t>
            </w:r>
          </w:p>
        </w:tc>
      </w:tr>
      <w:tr w:rsidR="00474FF6" w:rsidRPr="00DF2B03" w:rsidTr="00DF2B03">
        <w:trPr>
          <w:trHeight w:val="255"/>
          <w:jc w:val="center"/>
        </w:trPr>
        <w:tc>
          <w:tcPr>
            <w:tcW w:w="4220" w:type="dxa"/>
            <w:tcBorders>
              <w:top w:val="nil"/>
              <w:left w:val="nil"/>
              <w:bottom w:val="nil"/>
              <w:right w:val="nil"/>
            </w:tcBorders>
            <w:shd w:val="clear" w:color="auto" w:fill="auto"/>
            <w:noWrap/>
            <w:vAlign w:val="center"/>
            <w:hideMark/>
          </w:tcPr>
          <w:p w:rsidR="00474FF6" w:rsidRPr="00DF2B03" w:rsidRDefault="00474FF6" w:rsidP="00500E92">
            <w:pPr>
              <w:rPr>
                <w:b/>
                <w:bCs/>
              </w:rPr>
            </w:pPr>
            <w:r w:rsidRPr="00DF2B03">
              <w:rPr>
                <w:b/>
                <w:bCs/>
              </w:rPr>
              <w:t>Pacific Islands Water Science Center</w:t>
            </w:r>
          </w:p>
        </w:tc>
        <w:tc>
          <w:tcPr>
            <w:tcW w:w="1539" w:type="dxa"/>
            <w:tcBorders>
              <w:top w:val="nil"/>
              <w:left w:val="nil"/>
              <w:bottom w:val="nil"/>
              <w:right w:val="nil"/>
            </w:tcBorders>
            <w:shd w:val="clear" w:color="auto" w:fill="auto"/>
            <w:noWrap/>
            <w:vAlign w:val="center"/>
            <w:hideMark/>
          </w:tcPr>
          <w:p w:rsidR="00474FF6" w:rsidRPr="00DF2B03" w:rsidRDefault="00474FF6" w:rsidP="00500E92">
            <w:pPr>
              <w:jc w:val="center"/>
            </w:pPr>
          </w:p>
        </w:tc>
      </w:tr>
      <w:tr w:rsidR="00474FF6" w:rsidRPr="00DF2B03" w:rsidTr="00DF2B03">
        <w:trPr>
          <w:trHeight w:val="255"/>
          <w:jc w:val="center"/>
        </w:trPr>
        <w:tc>
          <w:tcPr>
            <w:tcW w:w="4220" w:type="dxa"/>
            <w:tcBorders>
              <w:top w:val="nil"/>
              <w:left w:val="nil"/>
              <w:bottom w:val="nil"/>
              <w:right w:val="nil"/>
            </w:tcBorders>
            <w:shd w:val="clear" w:color="auto" w:fill="auto"/>
            <w:noWrap/>
            <w:vAlign w:val="center"/>
            <w:hideMark/>
          </w:tcPr>
          <w:p w:rsidR="00474FF6" w:rsidRPr="00DF2B03" w:rsidRDefault="00474FF6" w:rsidP="00500E92">
            <w:r w:rsidRPr="00DF2B03">
              <w:t>Estimated labor</w:t>
            </w:r>
          </w:p>
        </w:tc>
        <w:tc>
          <w:tcPr>
            <w:tcW w:w="1539" w:type="dxa"/>
            <w:tcBorders>
              <w:top w:val="nil"/>
              <w:left w:val="nil"/>
              <w:bottom w:val="nil"/>
              <w:right w:val="nil"/>
            </w:tcBorders>
            <w:shd w:val="clear" w:color="auto" w:fill="auto"/>
            <w:noWrap/>
            <w:vAlign w:val="center"/>
            <w:hideMark/>
          </w:tcPr>
          <w:p w:rsidR="00474FF6" w:rsidRPr="00DF2B03" w:rsidRDefault="00474FF6" w:rsidP="00500E92">
            <w:pPr>
              <w:jc w:val="right"/>
            </w:pPr>
            <w:r w:rsidRPr="00DF2B03">
              <w:t>60,300</w:t>
            </w:r>
          </w:p>
        </w:tc>
      </w:tr>
      <w:tr w:rsidR="00474FF6" w:rsidRPr="00DF2B03" w:rsidTr="00DF2B03">
        <w:trPr>
          <w:trHeight w:val="255"/>
          <w:jc w:val="center"/>
        </w:trPr>
        <w:tc>
          <w:tcPr>
            <w:tcW w:w="4220" w:type="dxa"/>
            <w:tcBorders>
              <w:top w:val="nil"/>
              <w:left w:val="nil"/>
              <w:bottom w:val="nil"/>
              <w:right w:val="nil"/>
            </w:tcBorders>
            <w:shd w:val="clear" w:color="auto" w:fill="auto"/>
            <w:noWrap/>
            <w:vAlign w:val="center"/>
            <w:hideMark/>
          </w:tcPr>
          <w:p w:rsidR="00474FF6" w:rsidRPr="00DF2B03" w:rsidRDefault="00474FF6" w:rsidP="00500E92">
            <w:r w:rsidRPr="00DF2B03">
              <w:t>Equipment and supplies</w:t>
            </w:r>
          </w:p>
        </w:tc>
        <w:tc>
          <w:tcPr>
            <w:tcW w:w="1539" w:type="dxa"/>
            <w:tcBorders>
              <w:top w:val="nil"/>
              <w:left w:val="nil"/>
              <w:bottom w:val="nil"/>
              <w:right w:val="nil"/>
            </w:tcBorders>
            <w:shd w:val="clear" w:color="auto" w:fill="auto"/>
            <w:noWrap/>
            <w:vAlign w:val="center"/>
            <w:hideMark/>
          </w:tcPr>
          <w:p w:rsidR="00474FF6" w:rsidRPr="00DF2B03" w:rsidRDefault="00474FF6" w:rsidP="00500E92">
            <w:pPr>
              <w:jc w:val="right"/>
            </w:pPr>
            <w:r w:rsidRPr="00DF2B03">
              <w:t>200</w:t>
            </w:r>
          </w:p>
        </w:tc>
      </w:tr>
      <w:tr w:rsidR="00474FF6" w:rsidTr="00DF2B03">
        <w:trPr>
          <w:trHeight w:val="255"/>
          <w:jc w:val="center"/>
        </w:trPr>
        <w:tc>
          <w:tcPr>
            <w:tcW w:w="4220" w:type="dxa"/>
            <w:tcBorders>
              <w:top w:val="nil"/>
              <w:left w:val="nil"/>
              <w:bottom w:val="nil"/>
              <w:right w:val="nil"/>
            </w:tcBorders>
            <w:shd w:val="clear" w:color="auto" w:fill="auto"/>
            <w:noWrap/>
            <w:vAlign w:val="center"/>
            <w:hideMark/>
          </w:tcPr>
          <w:p w:rsidR="00474FF6" w:rsidRPr="00DF2B03" w:rsidRDefault="00474FF6" w:rsidP="00500E92">
            <w:r w:rsidRPr="00DF2B03">
              <w:t>Travel</w:t>
            </w:r>
          </w:p>
        </w:tc>
        <w:tc>
          <w:tcPr>
            <w:tcW w:w="1539" w:type="dxa"/>
            <w:tcBorders>
              <w:top w:val="nil"/>
              <w:left w:val="nil"/>
              <w:bottom w:val="single" w:sz="4" w:space="0" w:color="auto"/>
              <w:right w:val="nil"/>
            </w:tcBorders>
            <w:shd w:val="clear" w:color="auto" w:fill="auto"/>
            <w:noWrap/>
            <w:vAlign w:val="center"/>
            <w:hideMark/>
          </w:tcPr>
          <w:p w:rsidR="00474FF6" w:rsidRPr="00DF2B03" w:rsidRDefault="00474FF6" w:rsidP="00500E92">
            <w:pPr>
              <w:jc w:val="right"/>
            </w:pPr>
            <w:r w:rsidRPr="00DF2B03">
              <w:t>4,000</w:t>
            </w:r>
          </w:p>
        </w:tc>
      </w:tr>
      <w:tr w:rsidR="00474FF6" w:rsidTr="00DF2B03">
        <w:trPr>
          <w:trHeight w:val="255"/>
          <w:jc w:val="center"/>
        </w:trPr>
        <w:tc>
          <w:tcPr>
            <w:tcW w:w="4220" w:type="dxa"/>
            <w:tcBorders>
              <w:top w:val="nil"/>
              <w:left w:val="nil"/>
              <w:bottom w:val="nil"/>
              <w:right w:val="nil"/>
            </w:tcBorders>
            <w:shd w:val="clear" w:color="auto" w:fill="auto"/>
            <w:noWrap/>
            <w:vAlign w:val="center"/>
            <w:hideMark/>
          </w:tcPr>
          <w:p w:rsidR="00474FF6" w:rsidRPr="00DF2B03" w:rsidRDefault="00474FF6" w:rsidP="00500E92">
            <w:r w:rsidRPr="00DF2B03">
              <w:t>Subtotal</w:t>
            </w:r>
          </w:p>
        </w:tc>
        <w:tc>
          <w:tcPr>
            <w:tcW w:w="1539" w:type="dxa"/>
            <w:tcBorders>
              <w:top w:val="nil"/>
              <w:left w:val="nil"/>
              <w:bottom w:val="nil"/>
              <w:right w:val="nil"/>
            </w:tcBorders>
            <w:shd w:val="clear" w:color="auto" w:fill="auto"/>
            <w:noWrap/>
            <w:vAlign w:val="center"/>
            <w:hideMark/>
          </w:tcPr>
          <w:p w:rsidR="00474FF6" w:rsidRPr="00DF2B03" w:rsidRDefault="00474FF6" w:rsidP="00500E92">
            <w:pPr>
              <w:jc w:val="right"/>
            </w:pPr>
            <w:r w:rsidRPr="00DF2B03">
              <w:t>64,500</w:t>
            </w:r>
          </w:p>
        </w:tc>
      </w:tr>
      <w:tr w:rsidR="00474FF6" w:rsidTr="00DF2B03">
        <w:trPr>
          <w:trHeight w:val="255"/>
          <w:jc w:val="center"/>
        </w:trPr>
        <w:tc>
          <w:tcPr>
            <w:tcW w:w="4220" w:type="dxa"/>
            <w:tcBorders>
              <w:top w:val="nil"/>
              <w:left w:val="nil"/>
              <w:bottom w:val="nil"/>
              <w:right w:val="nil"/>
            </w:tcBorders>
            <w:shd w:val="clear" w:color="auto" w:fill="auto"/>
            <w:noWrap/>
            <w:vAlign w:val="center"/>
            <w:hideMark/>
          </w:tcPr>
          <w:p w:rsidR="00474FF6" w:rsidRPr="00DF2B03" w:rsidRDefault="00474FF6" w:rsidP="00500E92">
            <w:r w:rsidRPr="00DF2B03">
              <w:t>Science support</w:t>
            </w:r>
          </w:p>
        </w:tc>
        <w:tc>
          <w:tcPr>
            <w:tcW w:w="1539" w:type="dxa"/>
            <w:tcBorders>
              <w:top w:val="nil"/>
              <w:left w:val="nil"/>
              <w:bottom w:val="nil"/>
              <w:right w:val="nil"/>
            </w:tcBorders>
            <w:shd w:val="clear" w:color="auto" w:fill="auto"/>
            <w:noWrap/>
            <w:vAlign w:val="center"/>
            <w:hideMark/>
          </w:tcPr>
          <w:p w:rsidR="00474FF6" w:rsidRPr="00DF2B03" w:rsidRDefault="00474FF6" w:rsidP="00500E92">
            <w:pPr>
              <w:jc w:val="right"/>
            </w:pPr>
            <w:r w:rsidRPr="00DF2B03">
              <w:t>12,900</w:t>
            </w:r>
          </w:p>
        </w:tc>
      </w:tr>
      <w:tr w:rsidR="00474FF6" w:rsidTr="00DF2B03">
        <w:trPr>
          <w:trHeight w:val="255"/>
          <w:jc w:val="center"/>
        </w:trPr>
        <w:tc>
          <w:tcPr>
            <w:tcW w:w="4220" w:type="dxa"/>
            <w:tcBorders>
              <w:top w:val="nil"/>
              <w:left w:val="nil"/>
              <w:bottom w:val="single" w:sz="4" w:space="0" w:color="auto"/>
              <w:right w:val="nil"/>
            </w:tcBorders>
            <w:shd w:val="clear" w:color="auto" w:fill="auto"/>
            <w:noWrap/>
            <w:vAlign w:val="center"/>
            <w:hideMark/>
          </w:tcPr>
          <w:p w:rsidR="00474FF6" w:rsidRPr="00DF2B03" w:rsidRDefault="00474FF6" w:rsidP="00500E92">
            <w:r w:rsidRPr="00DF2B03">
              <w:t>Overhead</w:t>
            </w:r>
          </w:p>
        </w:tc>
        <w:tc>
          <w:tcPr>
            <w:tcW w:w="1539" w:type="dxa"/>
            <w:tcBorders>
              <w:top w:val="nil"/>
              <w:left w:val="nil"/>
              <w:bottom w:val="single" w:sz="4" w:space="0" w:color="auto"/>
              <w:right w:val="nil"/>
            </w:tcBorders>
            <w:shd w:val="clear" w:color="auto" w:fill="auto"/>
            <w:noWrap/>
            <w:vAlign w:val="center"/>
            <w:hideMark/>
          </w:tcPr>
          <w:p w:rsidR="00474FF6" w:rsidRPr="00DF2B03" w:rsidRDefault="00474FF6" w:rsidP="00500E92">
            <w:pPr>
              <w:jc w:val="right"/>
            </w:pPr>
            <w:r w:rsidRPr="00DF2B03">
              <w:t>29,200</w:t>
            </w:r>
          </w:p>
        </w:tc>
      </w:tr>
      <w:tr w:rsidR="00474FF6" w:rsidTr="00DF2B03">
        <w:trPr>
          <w:trHeight w:val="255"/>
          <w:jc w:val="center"/>
        </w:trPr>
        <w:tc>
          <w:tcPr>
            <w:tcW w:w="4220" w:type="dxa"/>
            <w:tcBorders>
              <w:top w:val="nil"/>
              <w:left w:val="nil"/>
              <w:bottom w:val="nil"/>
              <w:right w:val="nil"/>
            </w:tcBorders>
            <w:shd w:val="clear" w:color="auto" w:fill="auto"/>
            <w:noWrap/>
            <w:vAlign w:val="center"/>
            <w:hideMark/>
          </w:tcPr>
          <w:p w:rsidR="00474FF6" w:rsidRPr="00DF2B03" w:rsidRDefault="00474FF6" w:rsidP="00500E92">
            <w:pPr>
              <w:rPr>
                <w:b/>
                <w:bCs/>
              </w:rPr>
            </w:pPr>
            <w:r w:rsidRPr="00DF2B03">
              <w:rPr>
                <w:b/>
                <w:bCs/>
              </w:rPr>
              <w:t>Total gross funding</w:t>
            </w:r>
          </w:p>
        </w:tc>
        <w:tc>
          <w:tcPr>
            <w:tcW w:w="1539" w:type="dxa"/>
            <w:tcBorders>
              <w:top w:val="nil"/>
              <w:left w:val="nil"/>
              <w:bottom w:val="nil"/>
              <w:right w:val="nil"/>
            </w:tcBorders>
            <w:shd w:val="clear" w:color="auto" w:fill="auto"/>
            <w:noWrap/>
            <w:vAlign w:val="center"/>
            <w:hideMark/>
          </w:tcPr>
          <w:p w:rsidR="00474FF6" w:rsidRPr="00DF2B03" w:rsidRDefault="00474FF6" w:rsidP="00500E92">
            <w:pPr>
              <w:jc w:val="right"/>
            </w:pPr>
            <w:r w:rsidRPr="00DF2B03">
              <w:t>106,600</w:t>
            </w:r>
          </w:p>
        </w:tc>
      </w:tr>
    </w:tbl>
    <w:p w:rsidR="00474FF6" w:rsidRDefault="00474FF6" w:rsidP="00474FF6">
      <w:pPr>
        <w:pStyle w:val="paragraph"/>
      </w:pPr>
    </w:p>
    <w:p w:rsidR="00143CB4" w:rsidRDefault="00143CB4" w:rsidP="00143CB4">
      <w:pPr>
        <w:rPr>
          <w:rStyle w:val="Strong"/>
          <w:color w:val="0000FF"/>
        </w:rPr>
      </w:pPr>
    </w:p>
    <w:p w:rsidR="00722C13" w:rsidRDefault="00722C13">
      <w:pPr>
        <w:rPr>
          <w:rStyle w:val="Strong"/>
          <w:color w:val="0000FF"/>
        </w:rPr>
      </w:pPr>
      <w:r>
        <w:rPr>
          <w:rStyle w:val="Strong"/>
          <w:color w:val="0000FF"/>
        </w:rPr>
        <w:br w:type="page"/>
      </w:r>
    </w:p>
    <w:p w:rsidR="0084678A" w:rsidRPr="002674EA" w:rsidRDefault="0084678A" w:rsidP="0084678A">
      <w:pPr>
        <w:pStyle w:val="NormalWeb"/>
        <w:spacing w:before="240" w:beforeAutospacing="0" w:after="120" w:afterAutospacing="0"/>
        <w:ind w:left="360" w:hanging="360"/>
        <w:rPr>
          <w:rStyle w:val="Strong"/>
          <w:color w:val="0000FF"/>
        </w:rPr>
      </w:pPr>
      <w:r w:rsidRPr="0084678A">
        <w:rPr>
          <w:rStyle w:val="Strong"/>
        </w:rPr>
        <w:lastRenderedPageBreak/>
        <w:t>3.</w:t>
      </w:r>
      <w:r w:rsidRPr="0084678A">
        <w:rPr>
          <w:rStyle w:val="Strong"/>
        </w:rPr>
        <w:tab/>
        <w:t>NOTEWORTHY COLLABORATIONS, MEETINGS, TECHNICAL TRANSFER ACTIVITIES, SPIN-OFF PROJECT DEVELOPMENTS, AND ACKNOWLEDGEMENTS</w:t>
      </w:r>
    </w:p>
    <w:p w:rsidR="00722C13" w:rsidRPr="0084678A" w:rsidRDefault="0084678A" w:rsidP="0084678A">
      <w:pPr>
        <w:ind w:left="360"/>
        <w:rPr>
          <w:rFonts w:ascii="Arial" w:hAnsi="Arial" w:cs="Arial"/>
          <w:b/>
        </w:rPr>
      </w:pPr>
      <w:r w:rsidRPr="0084678A">
        <w:rPr>
          <w:rFonts w:ascii="Arial" w:hAnsi="Arial" w:cs="Arial"/>
          <w:b/>
        </w:rPr>
        <w:t xml:space="preserve">Hawai‘i </w:t>
      </w:r>
      <w:r w:rsidR="005D6647">
        <w:rPr>
          <w:rFonts w:ascii="Arial" w:hAnsi="Arial" w:cs="Arial"/>
          <w:b/>
        </w:rPr>
        <w:t xml:space="preserve">State </w:t>
      </w:r>
      <w:r w:rsidRPr="0084678A">
        <w:rPr>
          <w:rFonts w:ascii="Arial" w:hAnsi="Arial" w:cs="Arial"/>
          <w:b/>
        </w:rPr>
        <w:t xml:space="preserve">Commission on Water Resources Management </w:t>
      </w:r>
      <w:r w:rsidR="005D6647">
        <w:rPr>
          <w:rFonts w:ascii="Arial" w:hAnsi="Arial" w:cs="Arial"/>
          <w:b/>
        </w:rPr>
        <w:t>values</w:t>
      </w:r>
      <w:r w:rsidRPr="0084678A">
        <w:rPr>
          <w:rFonts w:ascii="Arial" w:hAnsi="Arial" w:cs="Arial"/>
          <w:b/>
        </w:rPr>
        <w:t xml:space="preserve"> USGS </w:t>
      </w:r>
      <w:r w:rsidR="005D6647">
        <w:rPr>
          <w:rFonts w:ascii="Arial" w:hAnsi="Arial" w:cs="Arial"/>
          <w:b/>
        </w:rPr>
        <w:t>products</w:t>
      </w:r>
      <w:r w:rsidRPr="0084678A">
        <w:rPr>
          <w:rFonts w:ascii="Arial" w:hAnsi="Arial" w:cs="Arial"/>
          <w:b/>
        </w:rPr>
        <w:t xml:space="preserve"> </w:t>
      </w:r>
    </w:p>
    <w:p w:rsidR="00722C13" w:rsidRPr="0084678A" w:rsidRDefault="0084678A" w:rsidP="0084678A">
      <w:pPr>
        <w:pStyle w:val="paragraph"/>
        <w:ind w:left="360" w:firstLine="0"/>
        <w:rPr>
          <w:iCs/>
          <w:color w:val="000000"/>
        </w:rPr>
      </w:pPr>
      <w:r>
        <w:rPr>
          <w:iCs/>
          <w:color w:val="000000"/>
        </w:rPr>
        <w:t xml:space="preserve">Estimates of groundwater recharge are among the </w:t>
      </w:r>
      <w:r w:rsidR="005D6647">
        <w:rPr>
          <w:iCs/>
          <w:color w:val="000000"/>
        </w:rPr>
        <w:t xml:space="preserve">most </w:t>
      </w:r>
      <w:r w:rsidR="00267BE4">
        <w:rPr>
          <w:iCs/>
          <w:color w:val="000000"/>
        </w:rPr>
        <w:t>highly anticipated</w:t>
      </w:r>
      <w:r w:rsidR="005D6647">
        <w:rPr>
          <w:iCs/>
          <w:color w:val="000000"/>
        </w:rPr>
        <w:t xml:space="preserve"> products of the H</w:t>
      </w:r>
      <w:r w:rsidR="00D336AF">
        <w:rPr>
          <w:iCs/>
          <w:color w:val="000000"/>
        </w:rPr>
        <w:t xml:space="preserve">awaii Volcanic Aquifer Study. </w:t>
      </w:r>
      <w:r w:rsidR="005D6647">
        <w:rPr>
          <w:iCs/>
          <w:color w:val="000000"/>
        </w:rPr>
        <w:t xml:space="preserve">This sentiment was expressed recently in a quote from </w:t>
      </w:r>
      <w:r w:rsidR="005D6647" w:rsidRPr="0084678A">
        <w:rPr>
          <w:iCs/>
          <w:color w:val="000000"/>
        </w:rPr>
        <w:t xml:space="preserve">Jeffrey Pearson, </w:t>
      </w:r>
      <w:r w:rsidR="005D6647">
        <w:rPr>
          <w:iCs/>
          <w:color w:val="000000"/>
        </w:rPr>
        <w:t xml:space="preserve">the Deputy Director of the </w:t>
      </w:r>
      <w:r w:rsidR="005D6647" w:rsidRPr="0084678A">
        <w:rPr>
          <w:iCs/>
          <w:color w:val="000000"/>
        </w:rPr>
        <w:t>Hawai‘i State Commission on Water Resource Management</w:t>
      </w:r>
      <w:r w:rsidR="005D6647">
        <w:rPr>
          <w:iCs/>
          <w:color w:val="000000"/>
        </w:rPr>
        <w:t xml:space="preserve">:  </w:t>
      </w:r>
      <w:r w:rsidR="00722C13" w:rsidRPr="00267BE4">
        <w:rPr>
          <w:i/>
          <w:iCs/>
          <w:color w:val="000000"/>
        </w:rPr>
        <w:t>“The USGS report, “Volcanic Aquifers of Hawai‘i—Hydrogeology, Water Budgets, and Conceptual Models” is a valuable summary of the current knowledge of Hawai‘i’s groundwater, and a source for updated estimates of groundwater recharge and water use. The USGS recharge estimates are an essential component of the aquifer sustainable yields developed by the State of Hawai‘i Commission on Water Resource Management as part of the Water Resources Protection Plan of the H</w:t>
      </w:r>
      <w:r w:rsidR="005D6647" w:rsidRPr="00267BE4">
        <w:rPr>
          <w:i/>
          <w:iCs/>
          <w:color w:val="000000"/>
        </w:rPr>
        <w:t>awai‘i Water Plan.”</w:t>
      </w:r>
      <w:r w:rsidR="005D6647" w:rsidRPr="0084678A">
        <w:rPr>
          <w:iCs/>
          <w:color w:val="000000"/>
        </w:rPr>
        <w:t xml:space="preserve"> </w:t>
      </w:r>
    </w:p>
    <w:p w:rsidR="0084678A" w:rsidRDefault="0084678A" w:rsidP="0084678A">
      <w:pPr>
        <w:keepNext/>
        <w:ind w:left="360"/>
        <w:rPr>
          <w:rFonts w:ascii="Arial" w:hAnsi="Arial" w:cs="Arial"/>
          <w:b/>
          <w:shd w:val="clear" w:color="auto" w:fill="FFFFFF"/>
        </w:rPr>
      </w:pPr>
    </w:p>
    <w:p w:rsidR="0084678A" w:rsidRPr="005B5D2D" w:rsidRDefault="0084678A" w:rsidP="0084678A">
      <w:pPr>
        <w:keepNext/>
        <w:ind w:left="360"/>
        <w:rPr>
          <w:rFonts w:ascii="Arial" w:hAnsi="Arial" w:cs="Arial"/>
          <w:b/>
          <w:shd w:val="clear" w:color="auto" w:fill="FFFFFF"/>
        </w:rPr>
      </w:pPr>
      <w:r w:rsidRPr="005B5D2D">
        <w:rPr>
          <w:rFonts w:ascii="Arial" w:hAnsi="Arial" w:cs="Arial"/>
          <w:b/>
          <w:shd w:val="clear" w:color="auto" w:fill="FFFFFF"/>
        </w:rPr>
        <w:t xml:space="preserve">USGS presented </w:t>
      </w:r>
      <w:r w:rsidR="00D336AF">
        <w:rPr>
          <w:rFonts w:ascii="Arial" w:hAnsi="Arial" w:cs="Arial"/>
          <w:b/>
          <w:shd w:val="clear" w:color="auto" w:fill="FFFFFF"/>
        </w:rPr>
        <w:t xml:space="preserve">preliminary results from the </w:t>
      </w:r>
      <w:r w:rsidR="00D336AF" w:rsidRPr="00D336AF">
        <w:rPr>
          <w:rFonts w:ascii="Arial" w:hAnsi="Arial" w:cs="Arial"/>
          <w:b/>
          <w:shd w:val="clear" w:color="auto" w:fill="FFFFFF"/>
        </w:rPr>
        <w:t>Hawai</w:t>
      </w:r>
      <w:r w:rsidR="00D336AF">
        <w:rPr>
          <w:rFonts w:ascii="Arial" w:hAnsi="Arial" w:cs="Arial"/>
          <w:b/>
          <w:shd w:val="clear" w:color="auto" w:fill="FFFFFF"/>
        </w:rPr>
        <w:t>‘</w:t>
      </w:r>
      <w:r w:rsidR="00D336AF" w:rsidRPr="00D336AF">
        <w:rPr>
          <w:rFonts w:ascii="Arial" w:hAnsi="Arial" w:cs="Arial"/>
          <w:b/>
          <w:shd w:val="clear" w:color="auto" w:fill="FFFFFF"/>
        </w:rPr>
        <w:t>i Volcanic Aquifer Study</w:t>
      </w:r>
      <w:r w:rsidR="00D336AF">
        <w:rPr>
          <w:rFonts w:ascii="Arial" w:hAnsi="Arial" w:cs="Arial"/>
          <w:b/>
          <w:shd w:val="clear" w:color="auto" w:fill="FFFFFF"/>
        </w:rPr>
        <w:t xml:space="preserve"> </w:t>
      </w:r>
      <w:r w:rsidRPr="005B5D2D">
        <w:rPr>
          <w:rFonts w:ascii="Arial" w:hAnsi="Arial" w:cs="Arial"/>
          <w:b/>
          <w:shd w:val="clear" w:color="auto" w:fill="FFFFFF"/>
        </w:rPr>
        <w:t>at AGU</w:t>
      </w:r>
      <w:r w:rsidR="00151654">
        <w:rPr>
          <w:rFonts w:ascii="Arial" w:hAnsi="Arial" w:cs="Arial"/>
          <w:b/>
          <w:shd w:val="clear" w:color="auto" w:fill="FFFFFF"/>
        </w:rPr>
        <w:t xml:space="preserve">, </w:t>
      </w:r>
      <w:r w:rsidR="005D6647">
        <w:rPr>
          <w:rFonts w:ascii="Arial" w:hAnsi="Arial" w:cs="Arial"/>
          <w:b/>
          <w:shd w:val="clear" w:color="auto" w:fill="FFFFFF"/>
        </w:rPr>
        <w:t>GSA</w:t>
      </w:r>
      <w:r w:rsidR="00151654">
        <w:rPr>
          <w:rFonts w:ascii="Arial" w:hAnsi="Arial" w:cs="Arial"/>
          <w:b/>
          <w:shd w:val="clear" w:color="auto" w:fill="FFFFFF"/>
        </w:rPr>
        <w:t>, and AWWA</w:t>
      </w:r>
    </w:p>
    <w:p w:rsidR="0084678A" w:rsidRDefault="0084678A" w:rsidP="00847BD0">
      <w:pPr>
        <w:pStyle w:val="paragraph"/>
        <w:ind w:left="360" w:firstLine="0"/>
        <w:rPr>
          <w:iCs/>
          <w:color w:val="000000"/>
        </w:rPr>
      </w:pPr>
      <w:r w:rsidRPr="00D336AF">
        <w:rPr>
          <w:iCs/>
          <w:color w:val="000000"/>
        </w:rPr>
        <w:t xml:space="preserve">Scientific </w:t>
      </w:r>
      <w:r w:rsidR="00151654">
        <w:rPr>
          <w:iCs/>
          <w:color w:val="000000"/>
        </w:rPr>
        <w:t xml:space="preserve">and professional </w:t>
      </w:r>
      <w:r w:rsidRPr="00D336AF">
        <w:rPr>
          <w:iCs/>
          <w:color w:val="000000"/>
        </w:rPr>
        <w:t>conferences are an opportunity for USGS hydrologists to share their research and get feedback from colle</w:t>
      </w:r>
      <w:r w:rsidRPr="00D2422A">
        <w:rPr>
          <w:iCs/>
          <w:color w:val="000000"/>
        </w:rPr>
        <w:t>agu</w:t>
      </w:r>
      <w:r w:rsidRPr="00D336AF">
        <w:rPr>
          <w:iCs/>
          <w:color w:val="000000"/>
        </w:rPr>
        <w:t xml:space="preserve">es </w:t>
      </w:r>
      <w:r w:rsidR="00151654">
        <w:rPr>
          <w:iCs/>
          <w:color w:val="000000"/>
        </w:rPr>
        <w:t xml:space="preserve">and stakeholders </w:t>
      </w:r>
      <w:r w:rsidRPr="00D336AF">
        <w:rPr>
          <w:iCs/>
          <w:color w:val="000000"/>
        </w:rPr>
        <w:t>on their study’s methods and findings. The USGS presented</w:t>
      </w:r>
      <w:r w:rsidR="00E862D6">
        <w:rPr>
          <w:iCs/>
          <w:color w:val="000000"/>
        </w:rPr>
        <w:t xml:space="preserve"> methods and</w:t>
      </w:r>
      <w:r w:rsidRPr="00D336AF">
        <w:rPr>
          <w:iCs/>
          <w:color w:val="000000"/>
        </w:rPr>
        <w:t xml:space="preserve"> </w:t>
      </w:r>
      <w:r w:rsidR="005D6647" w:rsidRPr="00D336AF">
        <w:rPr>
          <w:iCs/>
          <w:color w:val="000000"/>
        </w:rPr>
        <w:t>preliminary</w:t>
      </w:r>
      <w:r w:rsidRPr="00D336AF">
        <w:rPr>
          <w:iCs/>
          <w:color w:val="000000"/>
        </w:rPr>
        <w:t xml:space="preserve"> modeling </w:t>
      </w:r>
      <w:r w:rsidR="005D6647" w:rsidRPr="00D336AF">
        <w:rPr>
          <w:iCs/>
          <w:color w:val="000000"/>
        </w:rPr>
        <w:t>results</w:t>
      </w:r>
      <w:r w:rsidRPr="00D336AF">
        <w:rPr>
          <w:iCs/>
          <w:color w:val="000000"/>
        </w:rPr>
        <w:t xml:space="preserve"> of the Hawai‘i Volcanic Aquifer Study </w:t>
      </w:r>
      <w:r w:rsidR="00D336AF" w:rsidRPr="00D336AF">
        <w:rPr>
          <w:iCs/>
          <w:color w:val="000000"/>
        </w:rPr>
        <w:t xml:space="preserve">in a poster </w:t>
      </w:r>
      <w:r w:rsidRPr="00D336AF">
        <w:rPr>
          <w:iCs/>
          <w:color w:val="000000"/>
        </w:rPr>
        <w:t xml:space="preserve">at the </w:t>
      </w:r>
      <w:r w:rsidR="005D6647" w:rsidRPr="00D336AF">
        <w:rPr>
          <w:iCs/>
          <w:color w:val="000000"/>
        </w:rPr>
        <w:t>2016</w:t>
      </w:r>
      <w:r w:rsidRPr="00D336AF">
        <w:rPr>
          <w:iCs/>
          <w:color w:val="000000"/>
        </w:rPr>
        <w:t xml:space="preserve"> Fall meeting of the American Geophysical Union (AGU)</w:t>
      </w:r>
      <w:r w:rsidR="005D6647" w:rsidRPr="00D336AF">
        <w:rPr>
          <w:iCs/>
          <w:color w:val="000000"/>
        </w:rPr>
        <w:t xml:space="preserve">, and </w:t>
      </w:r>
      <w:r w:rsidR="00151654">
        <w:rPr>
          <w:iCs/>
          <w:color w:val="000000"/>
        </w:rPr>
        <w:t>in</w:t>
      </w:r>
      <w:r w:rsidR="00D336AF" w:rsidRPr="00D336AF">
        <w:rPr>
          <w:iCs/>
          <w:color w:val="000000"/>
        </w:rPr>
        <w:t xml:space="preserve"> oral presentation</w:t>
      </w:r>
      <w:r w:rsidR="00151654">
        <w:rPr>
          <w:iCs/>
          <w:color w:val="000000"/>
        </w:rPr>
        <w:t>s</w:t>
      </w:r>
      <w:r w:rsidR="00D336AF" w:rsidRPr="00D336AF">
        <w:rPr>
          <w:iCs/>
          <w:color w:val="000000"/>
        </w:rPr>
        <w:t xml:space="preserve"> at the 2017 meeting of the</w:t>
      </w:r>
      <w:r w:rsidR="005D6647" w:rsidRPr="00D336AF">
        <w:rPr>
          <w:iCs/>
          <w:color w:val="000000"/>
        </w:rPr>
        <w:t xml:space="preserve"> Geological Society of America (GSA)</w:t>
      </w:r>
      <w:r w:rsidRPr="00D336AF">
        <w:rPr>
          <w:iCs/>
          <w:color w:val="000000"/>
        </w:rPr>
        <w:t xml:space="preserve"> </w:t>
      </w:r>
      <w:r w:rsidR="00D336AF" w:rsidRPr="00D336AF">
        <w:rPr>
          <w:iCs/>
          <w:color w:val="000000"/>
        </w:rPr>
        <w:t>Cordilleran Section</w:t>
      </w:r>
      <w:r w:rsidR="00847BD0">
        <w:rPr>
          <w:iCs/>
          <w:color w:val="000000"/>
        </w:rPr>
        <w:t xml:space="preserve">, and the 2017 conference of the </w:t>
      </w:r>
      <w:r w:rsidR="00151654" w:rsidRPr="00151654">
        <w:rPr>
          <w:iCs/>
          <w:color w:val="000000"/>
        </w:rPr>
        <w:t>American Water</w:t>
      </w:r>
      <w:r w:rsidR="00847BD0">
        <w:rPr>
          <w:iCs/>
          <w:color w:val="000000"/>
        </w:rPr>
        <w:t xml:space="preserve"> Works Association (AWWA) </w:t>
      </w:r>
      <w:r w:rsidR="00151654" w:rsidRPr="00151654">
        <w:rPr>
          <w:iCs/>
          <w:color w:val="000000"/>
        </w:rPr>
        <w:t>Hawai‘i Section</w:t>
      </w:r>
      <w:r w:rsidR="00D336AF" w:rsidRPr="00D336AF">
        <w:rPr>
          <w:iCs/>
          <w:color w:val="000000"/>
        </w:rPr>
        <w:t xml:space="preserve">. </w:t>
      </w:r>
      <w:r w:rsidRPr="00D336AF">
        <w:rPr>
          <w:iCs/>
          <w:color w:val="000000"/>
        </w:rPr>
        <w:t>The</w:t>
      </w:r>
      <w:r w:rsidR="00D336AF" w:rsidRPr="00D336AF">
        <w:rPr>
          <w:iCs/>
          <w:color w:val="000000"/>
        </w:rPr>
        <w:t xml:space="preserve">se presentations showed how the groundwater models created by the Hawai‘i Volcanic Aquifer Study can be used to </w:t>
      </w:r>
      <w:r w:rsidRPr="00D336AF">
        <w:rPr>
          <w:iCs/>
          <w:color w:val="000000"/>
        </w:rPr>
        <w:t xml:space="preserve"> </w:t>
      </w:r>
      <w:r w:rsidR="00D336AF" w:rsidRPr="00D336AF">
        <w:rPr>
          <w:iCs/>
          <w:color w:val="000000"/>
        </w:rPr>
        <w:t xml:space="preserve">quantify the effects of groundwater development and </w:t>
      </w:r>
      <w:r w:rsidR="00151654">
        <w:rPr>
          <w:iCs/>
          <w:color w:val="000000"/>
        </w:rPr>
        <w:t>how these effects can limit</w:t>
      </w:r>
      <w:r w:rsidR="00D336AF" w:rsidRPr="00D336AF">
        <w:rPr>
          <w:iCs/>
          <w:color w:val="000000"/>
        </w:rPr>
        <w:t xml:space="preserve"> </w:t>
      </w:r>
      <w:r w:rsidR="00151654">
        <w:rPr>
          <w:iCs/>
          <w:color w:val="000000"/>
        </w:rPr>
        <w:t>the availability of groundwater</w:t>
      </w:r>
      <w:r w:rsidR="00D336AF" w:rsidRPr="00D336AF">
        <w:rPr>
          <w:iCs/>
          <w:color w:val="000000"/>
        </w:rPr>
        <w:t xml:space="preserve"> in Hawai</w:t>
      </w:r>
      <w:r w:rsidR="00151654">
        <w:rPr>
          <w:iCs/>
          <w:color w:val="000000"/>
        </w:rPr>
        <w:t>‘</w:t>
      </w:r>
      <w:r w:rsidR="00D336AF" w:rsidRPr="00D336AF">
        <w:rPr>
          <w:iCs/>
          <w:color w:val="000000"/>
        </w:rPr>
        <w:t>i.</w:t>
      </w:r>
    </w:p>
    <w:p w:rsidR="00E37A6A" w:rsidRPr="00D336AF" w:rsidRDefault="00E37A6A" w:rsidP="00D336AF">
      <w:pPr>
        <w:pStyle w:val="paragraph"/>
        <w:ind w:left="360" w:firstLine="0"/>
        <w:rPr>
          <w:iCs/>
          <w:color w:val="000000"/>
        </w:rPr>
      </w:pPr>
    </w:p>
    <w:p w:rsidR="00722C13" w:rsidRPr="00E37A6A" w:rsidRDefault="00722C13" w:rsidP="00E37A6A">
      <w:pPr>
        <w:ind w:left="360"/>
        <w:rPr>
          <w:rFonts w:ascii="Arial" w:hAnsi="Arial" w:cs="Arial"/>
          <w:b/>
        </w:rPr>
      </w:pPr>
      <w:r w:rsidRPr="00E37A6A">
        <w:rPr>
          <w:rFonts w:ascii="Arial" w:hAnsi="Arial" w:cs="Arial"/>
          <w:b/>
        </w:rPr>
        <w:t>USGS described how the Hawai‘i Volcanic Aquifer Study can help develop strategies to mitigate climate-change impacts for Honolulu</w:t>
      </w:r>
    </w:p>
    <w:p w:rsidR="00722C13" w:rsidRDefault="00722C13" w:rsidP="00847BD0">
      <w:pPr>
        <w:pStyle w:val="paragraph"/>
        <w:ind w:left="360" w:firstLine="0"/>
        <w:rPr>
          <w:iCs/>
          <w:color w:val="000000"/>
        </w:rPr>
      </w:pPr>
      <w:r w:rsidRPr="00E37A6A">
        <w:rPr>
          <w:iCs/>
          <w:color w:val="000000"/>
        </w:rPr>
        <w:t xml:space="preserve">Predicted climate-change impacts—particularly sea-level rise and diminished rainfall—portend threats to the water supply and infrastructure of the City and County of Honolulu, which serves drinking water to more than 70 percent of Hawai‘i’s population and most of its industries. </w:t>
      </w:r>
      <w:r w:rsidR="00E37A6A">
        <w:rPr>
          <w:iCs/>
          <w:color w:val="000000"/>
        </w:rPr>
        <w:t xml:space="preserve">Starting in 2016 and continuing in 2017, USGS hydrologists contributing to the </w:t>
      </w:r>
      <w:r w:rsidR="00E37A6A" w:rsidRPr="00E37A6A">
        <w:rPr>
          <w:iCs/>
          <w:color w:val="000000"/>
        </w:rPr>
        <w:t xml:space="preserve">Hawai‘i Volcanic Aquifer Study </w:t>
      </w:r>
      <w:r w:rsidRPr="00E37A6A">
        <w:rPr>
          <w:iCs/>
          <w:color w:val="000000"/>
        </w:rPr>
        <w:t xml:space="preserve">Assessment </w:t>
      </w:r>
      <w:r w:rsidR="00E37A6A">
        <w:rPr>
          <w:iCs/>
          <w:color w:val="000000"/>
        </w:rPr>
        <w:t>have served on the Te</w:t>
      </w:r>
      <w:r w:rsidR="00E862D6">
        <w:rPr>
          <w:iCs/>
          <w:color w:val="000000"/>
        </w:rPr>
        <w:t>chnical Advisory Committee</w:t>
      </w:r>
      <w:r w:rsidR="00E37A6A">
        <w:rPr>
          <w:iCs/>
          <w:color w:val="000000"/>
        </w:rPr>
        <w:t xml:space="preserve"> for </w:t>
      </w:r>
      <w:r w:rsidR="00E862D6" w:rsidRPr="00E862D6">
        <w:rPr>
          <w:i/>
          <w:iCs/>
          <w:color w:val="000000"/>
        </w:rPr>
        <w:t>Impacts of Climate Change on Honolulu Water Supplies and Planning Strategies for Mitigation</w:t>
      </w:r>
      <w:r w:rsidR="00E37A6A">
        <w:rPr>
          <w:iCs/>
          <w:color w:val="000000"/>
        </w:rPr>
        <w:t>, a project funded by</w:t>
      </w:r>
      <w:r w:rsidRPr="00E37A6A">
        <w:rPr>
          <w:iCs/>
          <w:color w:val="000000"/>
        </w:rPr>
        <w:t xml:space="preserve"> a grant from the Water Research Foundation to develop strategies to mitigate the impacts of climate change for the HBWS. USGS hydrologists met with the engineers and researchers to discuss the Hawai‘i Volcanic Aquifer Study’s objectives, approach, and timelines, and the possibility of collaboration to help the HBWS cope with climate change.</w:t>
      </w:r>
    </w:p>
    <w:p w:rsidR="009F55ED" w:rsidRDefault="009F55ED" w:rsidP="004C2782">
      <w:pPr>
        <w:pStyle w:val="paragraph"/>
        <w:ind w:left="360" w:firstLine="0"/>
        <w:rPr>
          <w:iCs/>
          <w:color w:val="000000"/>
        </w:rPr>
      </w:pPr>
    </w:p>
    <w:p w:rsidR="009F55ED" w:rsidRPr="00803AB7" w:rsidRDefault="009F55ED" w:rsidP="009F55ED">
      <w:pPr>
        <w:keepNext/>
        <w:ind w:left="360"/>
        <w:rPr>
          <w:rFonts w:ascii="Arial" w:hAnsi="Arial" w:cs="Arial"/>
          <w:b/>
          <w:shd w:val="clear" w:color="auto" w:fill="FFFFFF"/>
        </w:rPr>
      </w:pPr>
      <w:r w:rsidRPr="00803AB7">
        <w:rPr>
          <w:rFonts w:ascii="Arial" w:hAnsi="Arial" w:cs="Arial"/>
          <w:b/>
          <w:shd w:val="clear" w:color="auto" w:fill="FFFFFF"/>
        </w:rPr>
        <w:lastRenderedPageBreak/>
        <w:t xml:space="preserve">USGS </w:t>
      </w:r>
      <w:r>
        <w:rPr>
          <w:rFonts w:ascii="Arial" w:hAnsi="Arial" w:cs="Arial"/>
          <w:b/>
          <w:shd w:val="clear" w:color="auto" w:fill="FFFFFF"/>
        </w:rPr>
        <w:t xml:space="preserve">discusses potential </w:t>
      </w:r>
      <w:r w:rsidRPr="00803AB7">
        <w:rPr>
          <w:rFonts w:ascii="Arial" w:hAnsi="Arial" w:cs="Arial"/>
          <w:b/>
          <w:shd w:val="clear" w:color="auto" w:fill="FFFFFF"/>
        </w:rPr>
        <w:t xml:space="preserve">collaboration with </w:t>
      </w:r>
      <w:r>
        <w:rPr>
          <w:rFonts w:ascii="Arial" w:hAnsi="Arial" w:cs="Arial"/>
          <w:b/>
          <w:shd w:val="clear" w:color="auto" w:fill="FFFFFF"/>
        </w:rPr>
        <w:t>the University of Hawai‘i to use models and data sets from the Hawai‘i Volcanic Aquifer Study</w:t>
      </w:r>
    </w:p>
    <w:p w:rsidR="009F55ED" w:rsidRPr="00C512E0" w:rsidRDefault="00E341B3" w:rsidP="00C512E0">
      <w:pPr>
        <w:pStyle w:val="paragraph"/>
        <w:ind w:left="360" w:firstLine="0"/>
        <w:rPr>
          <w:iCs/>
          <w:color w:val="000000"/>
        </w:rPr>
      </w:pPr>
      <w:r>
        <w:rPr>
          <w:iCs/>
        </w:rPr>
        <w:t>The University of Hawai‘i</w:t>
      </w:r>
      <w:r w:rsidR="00A93D99" w:rsidRPr="00A93D99">
        <w:rPr>
          <w:iCs/>
        </w:rPr>
        <w:t xml:space="preserve"> has received an </w:t>
      </w:r>
      <w:proofErr w:type="spellStart"/>
      <w:r w:rsidR="00A93D99" w:rsidRPr="00A93D99">
        <w:rPr>
          <w:iCs/>
        </w:rPr>
        <w:t>EPSCoR</w:t>
      </w:r>
      <w:proofErr w:type="spellEnd"/>
      <w:r w:rsidR="00A93D99" w:rsidRPr="00A93D99">
        <w:rPr>
          <w:iCs/>
        </w:rPr>
        <w:t xml:space="preserve"> grant for </w:t>
      </w:r>
      <w:r w:rsidR="00A93D99" w:rsidRPr="00A93D99">
        <w:rPr>
          <w:i/>
          <w:iCs/>
        </w:rPr>
        <w:t>‘Ike Wai</w:t>
      </w:r>
      <w:r w:rsidR="00A93D99" w:rsidRPr="00A93D99">
        <w:rPr>
          <w:iCs/>
        </w:rPr>
        <w:t xml:space="preserve">, a </w:t>
      </w:r>
      <w:r w:rsidR="00C512E0">
        <w:rPr>
          <w:iCs/>
        </w:rPr>
        <w:t xml:space="preserve">multidisciplinary </w:t>
      </w:r>
      <w:r w:rsidR="00A93D99" w:rsidRPr="00A93D99">
        <w:rPr>
          <w:iCs/>
        </w:rPr>
        <w:t>project to research water re</w:t>
      </w:r>
      <w:r w:rsidR="00A93D99">
        <w:rPr>
          <w:iCs/>
        </w:rPr>
        <w:t>sources in Hawaii.</w:t>
      </w:r>
      <w:r w:rsidR="00A93D99" w:rsidRPr="00A93D99">
        <w:rPr>
          <w:iCs/>
        </w:rPr>
        <w:t xml:space="preserve"> </w:t>
      </w:r>
      <w:r w:rsidR="00A93D99" w:rsidRPr="00A93D99">
        <w:rPr>
          <w:i/>
          <w:iCs/>
        </w:rPr>
        <w:t>‘Ike Wai</w:t>
      </w:r>
      <w:r w:rsidR="00A93D99" w:rsidRPr="00A93D99">
        <w:rPr>
          <w:iCs/>
        </w:rPr>
        <w:t xml:space="preserve"> project </w:t>
      </w:r>
      <w:r w:rsidR="00A93D99">
        <w:rPr>
          <w:iCs/>
        </w:rPr>
        <w:t xml:space="preserve">leaders </w:t>
      </w:r>
      <w:r w:rsidR="00A93D99" w:rsidRPr="00A93D99">
        <w:rPr>
          <w:iCs/>
        </w:rPr>
        <w:t xml:space="preserve">have </w:t>
      </w:r>
      <w:r w:rsidR="00A93D99">
        <w:rPr>
          <w:iCs/>
        </w:rPr>
        <w:t xml:space="preserve">sought a collaborative relation with </w:t>
      </w:r>
      <w:r w:rsidR="00A93D99" w:rsidRPr="00A93D99">
        <w:rPr>
          <w:iCs/>
        </w:rPr>
        <w:t xml:space="preserve">the </w:t>
      </w:r>
      <w:r w:rsidR="00A93D99">
        <w:rPr>
          <w:iCs/>
        </w:rPr>
        <w:t xml:space="preserve">USGS to gain from the </w:t>
      </w:r>
      <w:r w:rsidR="00A93D99" w:rsidRPr="00A93D99">
        <w:rPr>
          <w:iCs/>
        </w:rPr>
        <w:t>PIWSC</w:t>
      </w:r>
      <w:r w:rsidR="00A93D99">
        <w:rPr>
          <w:iCs/>
        </w:rPr>
        <w:t>’s</w:t>
      </w:r>
      <w:r w:rsidR="00A93D99" w:rsidRPr="00A93D99">
        <w:rPr>
          <w:iCs/>
        </w:rPr>
        <w:t xml:space="preserve"> </w:t>
      </w:r>
      <w:r w:rsidR="00A93D99">
        <w:rPr>
          <w:iCs/>
        </w:rPr>
        <w:t>extensive</w:t>
      </w:r>
      <w:r w:rsidR="00A93D99" w:rsidRPr="00A93D99">
        <w:rPr>
          <w:iCs/>
        </w:rPr>
        <w:t xml:space="preserve"> experience and data on the hydrology of Hawai</w:t>
      </w:r>
      <w:r w:rsidR="00A93D99">
        <w:rPr>
          <w:iCs/>
        </w:rPr>
        <w:t>‘</w:t>
      </w:r>
      <w:r w:rsidR="00A93D99" w:rsidRPr="00A93D99">
        <w:rPr>
          <w:iCs/>
        </w:rPr>
        <w:t>i</w:t>
      </w:r>
      <w:r w:rsidR="00A93D99">
        <w:rPr>
          <w:iCs/>
        </w:rPr>
        <w:t xml:space="preserve">. </w:t>
      </w:r>
      <w:r w:rsidR="00A93D99" w:rsidRPr="00C512E0">
        <w:rPr>
          <w:i/>
          <w:iCs/>
        </w:rPr>
        <w:t>‘Ike Wai</w:t>
      </w:r>
      <w:r w:rsidR="00A93D99" w:rsidRPr="00A93D99">
        <w:rPr>
          <w:iCs/>
        </w:rPr>
        <w:t xml:space="preserve"> project </w:t>
      </w:r>
      <w:r w:rsidR="00A93D99">
        <w:rPr>
          <w:iCs/>
        </w:rPr>
        <w:t>leaders also recognize</w:t>
      </w:r>
      <w:r w:rsidR="00C512E0">
        <w:rPr>
          <w:iCs/>
        </w:rPr>
        <w:t xml:space="preserve"> tha</w:t>
      </w:r>
      <w:r w:rsidR="00A93D99" w:rsidRPr="00A93D99">
        <w:rPr>
          <w:iCs/>
        </w:rPr>
        <w:t xml:space="preserve">t the PIWSC </w:t>
      </w:r>
      <w:r w:rsidR="00A93D99">
        <w:rPr>
          <w:iCs/>
        </w:rPr>
        <w:t xml:space="preserve">has developed an understanding, though the </w:t>
      </w:r>
      <w:r w:rsidR="00C512E0">
        <w:rPr>
          <w:iCs/>
        </w:rPr>
        <w:t xml:space="preserve">USGS </w:t>
      </w:r>
      <w:r w:rsidR="00A93D99">
        <w:rPr>
          <w:iCs/>
        </w:rPr>
        <w:t>cooperative studies program,</w:t>
      </w:r>
      <w:r w:rsidR="00A93D99" w:rsidRPr="00A93D99">
        <w:rPr>
          <w:iCs/>
        </w:rPr>
        <w:t xml:space="preserve"> of the </w:t>
      </w:r>
      <w:r w:rsidR="00A93D99">
        <w:rPr>
          <w:iCs/>
        </w:rPr>
        <w:t>needs of stakeholders in Hawai‘i’</w:t>
      </w:r>
      <w:r w:rsidR="00C512E0">
        <w:rPr>
          <w:iCs/>
        </w:rPr>
        <w:t>s</w:t>
      </w:r>
      <w:r w:rsidR="00A93D99">
        <w:rPr>
          <w:iCs/>
        </w:rPr>
        <w:t xml:space="preserve"> </w:t>
      </w:r>
      <w:r w:rsidR="00A93D99" w:rsidRPr="00A93D99">
        <w:rPr>
          <w:iCs/>
        </w:rPr>
        <w:t>water-resource community</w:t>
      </w:r>
      <w:r w:rsidR="00A93D99">
        <w:rPr>
          <w:iCs/>
        </w:rPr>
        <w:t xml:space="preserve">. </w:t>
      </w:r>
      <w:r w:rsidR="009F55ED">
        <w:rPr>
          <w:iCs/>
          <w:color w:val="000000"/>
        </w:rPr>
        <w:t xml:space="preserve">In FY </w:t>
      </w:r>
      <w:r w:rsidR="00C512E0">
        <w:rPr>
          <w:iCs/>
          <w:color w:val="000000"/>
        </w:rPr>
        <w:t>2017, the USGS met often</w:t>
      </w:r>
      <w:r w:rsidR="009F55ED">
        <w:rPr>
          <w:iCs/>
          <w:color w:val="000000"/>
        </w:rPr>
        <w:t xml:space="preserve"> with the</w:t>
      </w:r>
      <w:r w:rsidR="009F55ED" w:rsidRPr="009F55ED">
        <w:rPr>
          <w:iCs/>
          <w:color w:val="000000"/>
        </w:rPr>
        <w:t xml:space="preserve"> University of Hawaii </w:t>
      </w:r>
      <w:r w:rsidR="009F55ED">
        <w:rPr>
          <w:iCs/>
          <w:color w:val="000000"/>
        </w:rPr>
        <w:t>t</w:t>
      </w:r>
      <w:r w:rsidR="00A93D99">
        <w:rPr>
          <w:iCs/>
          <w:color w:val="000000"/>
        </w:rPr>
        <w:t>o discuss ways</w:t>
      </w:r>
      <w:r w:rsidR="009F55ED">
        <w:rPr>
          <w:iCs/>
          <w:color w:val="000000"/>
        </w:rPr>
        <w:t xml:space="preserve"> in which </w:t>
      </w:r>
      <w:r w:rsidR="00BD673F">
        <w:rPr>
          <w:iCs/>
          <w:color w:val="000000"/>
        </w:rPr>
        <w:t xml:space="preserve">products of the </w:t>
      </w:r>
      <w:r w:rsidR="00BD673F" w:rsidRPr="009F55ED">
        <w:rPr>
          <w:iCs/>
          <w:color w:val="000000"/>
        </w:rPr>
        <w:t>Hawai‘i Volcanic Aquifer Study</w:t>
      </w:r>
      <w:r w:rsidR="00C512E0">
        <w:rPr>
          <w:iCs/>
          <w:color w:val="000000"/>
        </w:rPr>
        <w:t>—</w:t>
      </w:r>
      <w:r w:rsidR="00BD673F">
        <w:rPr>
          <w:iCs/>
          <w:color w:val="000000"/>
        </w:rPr>
        <w:t xml:space="preserve">such as </w:t>
      </w:r>
      <w:r w:rsidR="009F55ED">
        <w:rPr>
          <w:iCs/>
          <w:color w:val="000000"/>
        </w:rPr>
        <w:t xml:space="preserve">groundwater models and recharge </w:t>
      </w:r>
      <w:r w:rsidR="00C512E0">
        <w:rPr>
          <w:iCs/>
          <w:color w:val="000000"/>
        </w:rPr>
        <w:t>estimates—c</w:t>
      </w:r>
      <w:r w:rsidR="00BD673F">
        <w:rPr>
          <w:iCs/>
          <w:color w:val="000000"/>
        </w:rPr>
        <w:t xml:space="preserve">ould be made more accessible to the </w:t>
      </w:r>
      <w:r w:rsidR="0049620A">
        <w:rPr>
          <w:iCs/>
          <w:color w:val="000000"/>
        </w:rPr>
        <w:t xml:space="preserve">stakeholders and the </w:t>
      </w:r>
      <w:r w:rsidR="00BD673F">
        <w:rPr>
          <w:iCs/>
          <w:color w:val="000000"/>
        </w:rPr>
        <w:t>public.</w:t>
      </w:r>
      <w:r w:rsidR="009F55ED">
        <w:rPr>
          <w:iCs/>
          <w:color w:val="000000"/>
        </w:rPr>
        <w:t xml:space="preserve"> </w:t>
      </w:r>
      <w:r w:rsidR="00BD673F">
        <w:rPr>
          <w:iCs/>
          <w:color w:val="000000"/>
        </w:rPr>
        <w:t>For example,</w:t>
      </w:r>
      <w:r w:rsidR="009F55ED" w:rsidRPr="009F55ED">
        <w:rPr>
          <w:iCs/>
          <w:color w:val="000000"/>
        </w:rPr>
        <w:t xml:space="preserve"> the </w:t>
      </w:r>
      <w:r w:rsidR="00BD673F">
        <w:rPr>
          <w:iCs/>
          <w:color w:val="000000"/>
        </w:rPr>
        <w:t>University’s high-performance computer</w:t>
      </w:r>
      <w:r w:rsidR="009F55ED" w:rsidRPr="009F55ED">
        <w:rPr>
          <w:iCs/>
          <w:color w:val="000000"/>
        </w:rPr>
        <w:t xml:space="preserve"> could house</w:t>
      </w:r>
      <w:r w:rsidR="00BD673F">
        <w:rPr>
          <w:iCs/>
          <w:color w:val="000000"/>
        </w:rPr>
        <w:t xml:space="preserve"> the groundwater models</w:t>
      </w:r>
      <w:r w:rsidR="00643B90">
        <w:rPr>
          <w:iCs/>
          <w:color w:val="000000"/>
        </w:rPr>
        <w:t>, and m</w:t>
      </w:r>
      <w:r w:rsidR="009F55ED">
        <w:rPr>
          <w:iCs/>
          <w:color w:val="000000"/>
        </w:rPr>
        <w:t>embers of the University’s Information Technology Services department</w:t>
      </w:r>
      <w:r w:rsidR="009F55ED" w:rsidRPr="009F55ED">
        <w:rPr>
          <w:iCs/>
          <w:color w:val="000000"/>
        </w:rPr>
        <w:t xml:space="preserve"> can work with USGS to create a web interface to allow stakeholders to run scenarios of their ow</w:t>
      </w:r>
      <w:r w:rsidR="00643B90">
        <w:rPr>
          <w:iCs/>
          <w:color w:val="000000"/>
        </w:rPr>
        <w:t>n design on the</w:t>
      </w:r>
      <w:r w:rsidR="009F55ED">
        <w:rPr>
          <w:iCs/>
          <w:color w:val="000000"/>
        </w:rPr>
        <w:t xml:space="preserve"> </w:t>
      </w:r>
      <w:r w:rsidR="00BD673F">
        <w:rPr>
          <w:iCs/>
          <w:color w:val="000000"/>
        </w:rPr>
        <w:t>models</w:t>
      </w:r>
      <w:r w:rsidR="009F55ED" w:rsidRPr="009F55ED">
        <w:rPr>
          <w:iCs/>
          <w:color w:val="000000"/>
        </w:rPr>
        <w:t xml:space="preserve">. </w:t>
      </w:r>
      <w:r w:rsidR="00BD673F">
        <w:rPr>
          <w:iCs/>
          <w:color w:val="000000"/>
        </w:rPr>
        <w:t>V</w:t>
      </w:r>
      <w:r w:rsidR="009F55ED" w:rsidRPr="009F55ED">
        <w:rPr>
          <w:iCs/>
          <w:color w:val="000000"/>
        </w:rPr>
        <w:t xml:space="preserve">isualization and animation tools </w:t>
      </w:r>
      <w:r w:rsidR="00BD673F">
        <w:rPr>
          <w:iCs/>
          <w:color w:val="000000"/>
        </w:rPr>
        <w:t>could also be developed to</w:t>
      </w:r>
      <w:r w:rsidR="009F55ED" w:rsidRPr="009F55ED">
        <w:rPr>
          <w:iCs/>
          <w:color w:val="000000"/>
        </w:rPr>
        <w:t xml:space="preserve"> help stakeholders underst</w:t>
      </w:r>
      <w:r w:rsidR="00BD673F">
        <w:rPr>
          <w:iCs/>
          <w:color w:val="000000"/>
        </w:rPr>
        <w:t>and</w:t>
      </w:r>
      <w:r w:rsidR="00643B90">
        <w:rPr>
          <w:iCs/>
          <w:color w:val="000000"/>
        </w:rPr>
        <w:t xml:space="preserve"> model results, as well as for</w:t>
      </w:r>
      <w:r w:rsidR="00BD673F">
        <w:rPr>
          <w:iCs/>
          <w:color w:val="000000"/>
        </w:rPr>
        <w:t xml:space="preserve"> </w:t>
      </w:r>
      <w:r w:rsidR="009F55ED" w:rsidRPr="009F55ED">
        <w:rPr>
          <w:iCs/>
          <w:color w:val="000000"/>
        </w:rPr>
        <w:t>education</w:t>
      </w:r>
      <w:r w:rsidR="00BD673F">
        <w:rPr>
          <w:iCs/>
          <w:color w:val="000000"/>
        </w:rPr>
        <w:t xml:space="preserve">al purposes. </w:t>
      </w:r>
      <w:r w:rsidR="00A93D99">
        <w:rPr>
          <w:iCs/>
          <w:color w:val="000000"/>
        </w:rPr>
        <w:t>C</w:t>
      </w:r>
      <w:r w:rsidR="00BD673F">
        <w:rPr>
          <w:iCs/>
          <w:color w:val="000000"/>
        </w:rPr>
        <w:t>ollaboration</w:t>
      </w:r>
      <w:r w:rsidR="00BD673F" w:rsidRPr="00BD673F">
        <w:rPr>
          <w:iCs/>
          <w:color w:val="000000"/>
        </w:rPr>
        <w:t xml:space="preserve"> </w:t>
      </w:r>
      <w:r w:rsidR="00BD673F">
        <w:rPr>
          <w:iCs/>
          <w:color w:val="000000"/>
        </w:rPr>
        <w:t>would allow</w:t>
      </w:r>
      <w:r w:rsidR="00BD673F" w:rsidRPr="00BD673F">
        <w:rPr>
          <w:iCs/>
          <w:color w:val="000000"/>
        </w:rPr>
        <w:t xml:space="preserve"> synergistic coupling of </w:t>
      </w:r>
      <w:r w:rsidR="00BD673F">
        <w:rPr>
          <w:iCs/>
          <w:color w:val="000000"/>
        </w:rPr>
        <w:t xml:space="preserve">USGS </w:t>
      </w:r>
      <w:r w:rsidR="00BD673F" w:rsidRPr="00BD673F">
        <w:rPr>
          <w:iCs/>
          <w:color w:val="000000"/>
        </w:rPr>
        <w:t>hydr</w:t>
      </w:r>
      <w:r w:rsidR="00BD673F">
        <w:rPr>
          <w:iCs/>
          <w:color w:val="000000"/>
        </w:rPr>
        <w:t>ogeologic expertise</w:t>
      </w:r>
      <w:r w:rsidR="00BD673F" w:rsidRPr="00BD673F">
        <w:rPr>
          <w:iCs/>
          <w:color w:val="000000"/>
        </w:rPr>
        <w:t xml:space="preserve"> with </w:t>
      </w:r>
      <w:r w:rsidR="00BD673F">
        <w:rPr>
          <w:iCs/>
          <w:color w:val="000000"/>
        </w:rPr>
        <w:t xml:space="preserve">the University’s </w:t>
      </w:r>
      <w:r w:rsidR="00BD673F" w:rsidRPr="00BD673F">
        <w:rPr>
          <w:iCs/>
          <w:color w:val="000000"/>
        </w:rPr>
        <w:t>expertise</w:t>
      </w:r>
      <w:r w:rsidR="00BD673F">
        <w:rPr>
          <w:iCs/>
          <w:color w:val="000000"/>
        </w:rPr>
        <w:t xml:space="preserve"> in</w:t>
      </w:r>
      <w:r w:rsidR="00BD673F" w:rsidRPr="00BD673F">
        <w:rPr>
          <w:iCs/>
          <w:color w:val="000000"/>
        </w:rPr>
        <w:t xml:space="preserve"> information-technology </w:t>
      </w:r>
      <w:r w:rsidR="00BD673F">
        <w:rPr>
          <w:iCs/>
          <w:color w:val="000000"/>
        </w:rPr>
        <w:t xml:space="preserve">and </w:t>
      </w:r>
      <w:r w:rsidR="00BD673F" w:rsidRPr="00BD673F">
        <w:rPr>
          <w:iCs/>
          <w:color w:val="000000"/>
        </w:rPr>
        <w:t>h</w:t>
      </w:r>
      <w:r w:rsidR="0049620A">
        <w:rPr>
          <w:iCs/>
          <w:color w:val="000000"/>
        </w:rPr>
        <w:t>igh-performance computing</w:t>
      </w:r>
      <w:r w:rsidR="00C512E0">
        <w:rPr>
          <w:iCs/>
          <w:color w:val="000000"/>
        </w:rPr>
        <w:t>. The product could</w:t>
      </w:r>
      <w:r w:rsidR="00BD673F" w:rsidRPr="00BD673F">
        <w:rPr>
          <w:iCs/>
          <w:color w:val="000000"/>
        </w:rPr>
        <w:t xml:space="preserve"> advance the way groundwater resources are managed in Hawai‘i, </w:t>
      </w:r>
      <w:r w:rsidR="00C512E0">
        <w:rPr>
          <w:iCs/>
          <w:color w:val="000000"/>
        </w:rPr>
        <w:t xml:space="preserve">and </w:t>
      </w:r>
      <w:r w:rsidR="00BD673F" w:rsidRPr="00BD673F">
        <w:rPr>
          <w:iCs/>
          <w:color w:val="000000"/>
        </w:rPr>
        <w:t xml:space="preserve">will reflect positively on the </w:t>
      </w:r>
      <w:r w:rsidR="00BD673F">
        <w:rPr>
          <w:iCs/>
          <w:color w:val="000000"/>
        </w:rPr>
        <w:t>USGS and University of Hawai‘i.</w:t>
      </w:r>
    </w:p>
    <w:p w:rsidR="00847BD0" w:rsidRPr="004C2782" w:rsidRDefault="00847BD0" w:rsidP="004C2782">
      <w:pPr>
        <w:pStyle w:val="paragraph"/>
        <w:ind w:left="360" w:firstLine="0"/>
        <w:rPr>
          <w:iCs/>
          <w:color w:val="000000"/>
        </w:rPr>
      </w:pPr>
    </w:p>
    <w:p w:rsidR="00847BD0" w:rsidRPr="00803AB7" w:rsidRDefault="00847BD0" w:rsidP="00847BD0">
      <w:pPr>
        <w:keepNext/>
        <w:ind w:left="360"/>
        <w:rPr>
          <w:rFonts w:ascii="Arial" w:hAnsi="Arial" w:cs="Arial"/>
          <w:b/>
          <w:shd w:val="clear" w:color="auto" w:fill="FFFFFF"/>
        </w:rPr>
      </w:pPr>
      <w:r>
        <w:rPr>
          <w:rFonts w:ascii="Arial" w:hAnsi="Arial" w:cs="Arial"/>
          <w:b/>
          <w:shd w:val="clear" w:color="auto" w:fill="FFFFFF"/>
        </w:rPr>
        <w:t>U</w:t>
      </w:r>
      <w:r w:rsidRPr="00803AB7">
        <w:rPr>
          <w:rFonts w:ascii="Arial" w:hAnsi="Arial" w:cs="Arial"/>
          <w:b/>
          <w:shd w:val="clear" w:color="auto" w:fill="FFFFFF"/>
        </w:rPr>
        <w:t>SGS continued collaboration with the Honolulu Board of Water Supply to discuss future groundwater pumping projections</w:t>
      </w:r>
    </w:p>
    <w:p w:rsidR="00847BD0" w:rsidRDefault="00847BD0" w:rsidP="00847BD0">
      <w:pPr>
        <w:pStyle w:val="paragraph"/>
        <w:ind w:left="360" w:firstLine="0"/>
        <w:rPr>
          <w:iCs/>
          <w:color w:val="000000"/>
        </w:rPr>
      </w:pPr>
      <w:r w:rsidRPr="004C2782">
        <w:rPr>
          <w:iCs/>
          <w:color w:val="000000"/>
        </w:rPr>
        <w:t>One of the objectives of the Hawai‘i Volcanic Aquifer Study is to determine how future demands for water will impact the groundwater resources of O‘ahu. The USGS met with the HBWS initially in 2015 and again in 2016 to review the Hawai‘i Volcanic Aquifer Study and discuss future groundwater pumping projections that can be simulated</w:t>
      </w:r>
      <w:r>
        <w:rPr>
          <w:iCs/>
          <w:color w:val="000000"/>
        </w:rPr>
        <w:t xml:space="preserve"> in the O‘ahu</w:t>
      </w:r>
      <w:r w:rsidRPr="004C2782">
        <w:rPr>
          <w:iCs/>
          <w:color w:val="000000"/>
        </w:rPr>
        <w:t xml:space="preserve"> groundwater model. </w:t>
      </w:r>
      <w:r>
        <w:rPr>
          <w:iCs/>
          <w:color w:val="000000"/>
        </w:rPr>
        <w:t xml:space="preserve">In FY 2017, the </w:t>
      </w:r>
      <w:r w:rsidRPr="00803AB7">
        <w:rPr>
          <w:iCs/>
          <w:color w:val="000000"/>
        </w:rPr>
        <w:t xml:space="preserve">Hawai‘i Volcanic Aquifer Study </w:t>
      </w:r>
      <w:r>
        <w:rPr>
          <w:iCs/>
          <w:color w:val="000000"/>
        </w:rPr>
        <w:t>team continued to collaborate with the HBWS to</w:t>
      </w:r>
      <w:r w:rsidRPr="004C2782">
        <w:rPr>
          <w:iCs/>
          <w:color w:val="000000"/>
        </w:rPr>
        <w:t xml:space="preserve"> </w:t>
      </w:r>
      <w:r>
        <w:rPr>
          <w:iCs/>
          <w:color w:val="000000"/>
        </w:rPr>
        <w:t xml:space="preserve">develop future pumping </w:t>
      </w:r>
      <w:r w:rsidRPr="004C2782">
        <w:rPr>
          <w:iCs/>
          <w:color w:val="000000"/>
        </w:rPr>
        <w:t>s</w:t>
      </w:r>
      <w:r>
        <w:rPr>
          <w:iCs/>
          <w:color w:val="000000"/>
        </w:rPr>
        <w:t>cenarios</w:t>
      </w:r>
      <w:r w:rsidRPr="004C2782">
        <w:rPr>
          <w:iCs/>
          <w:color w:val="000000"/>
        </w:rPr>
        <w:t xml:space="preserve">. </w:t>
      </w:r>
      <w:r>
        <w:rPr>
          <w:iCs/>
          <w:color w:val="000000"/>
        </w:rPr>
        <w:t xml:space="preserve">The collaboration </w:t>
      </w:r>
      <w:r w:rsidRPr="004C2782">
        <w:rPr>
          <w:iCs/>
          <w:color w:val="000000"/>
        </w:rPr>
        <w:t>ensure</w:t>
      </w:r>
      <w:r>
        <w:rPr>
          <w:iCs/>
          <w:color w:val="000000"/>
        </w:rPr>
        <w:t>s</w:t>
      </w:r>
      <w:r w:rsidRPr="004C2782">
        <w:rPr>
          <w:iCs/>
          <w:color w:val="000000"/>
        </w:rPr>
        <w:t xml:space="preserve"> that the</w:t>
      </w:r>
      <w:r w:rsidRPr="00803AB7">
        <w:t xml:space="preserve"> </w:t>
      </w:r>
      <w:r w:rsidRPr="00803AB7">
        <w:rPr>
          <w:iCs/>
          <w:color w:val="000000"/>
        </w:rPr>
        <w:t>Hawai‘i Volcanic Aquifer Study</w:t>
      </w:r>
      <w:r>
        <w:rPr>
          <w:iCs/>
          <w:color w:val="000000"/>
        </w:rPr>
        <w:t>’s simulation of</w:t>
      </w:r>
      <w:r w:rsidRPr="004C2782">
        <w:rPr>
          <w:iCs/>
          <w:color w:val="000000"/>
        </w:rPr>
        <w:t xml:space="preserve"> futur</w:t>
      </w:r>
      <w:r>
        <w:rPr>
          <w:iCs/>
          <w:color w:val="000000"/>
        </w:rPr>
        <w:t>e pumping</w:t>
      </w:r>
      <w:r w:rsidRPr="004C2782">
        <w:rPr>
          <w:iCs/>
          <w:color w:val="000000"/>
        </w:rPr>
        <w:t xml:space="preserve"> will be plausible </w:t>
      </w:r>
      <w:r>
        <w:rPr>
          <w:iCs/>
          <w:color w:val="000000"/>
        </w:rPr>
        <w:t>and relevant</w:t>
      </w:r>
      <w:r w:rsidRPr="004C2782">
        <w:rPr>
          <w:iCs/>
          <w:color w:val="000000"/>
        </w:rPr>
        <w:t>.</w:t>
      </w:r>
    </w:p>
    <w:p w:rsidR="00E341B3" w:rsidRDefault="00E341B3">
      <w:pPr>
        <w:rPr>
          <w:rFonts w:ascii="Arial" w:hAnsi="Arial" w:cs="Arial"/>
          <w:b/>
        </w:rPr>
      </w:pPr>
      <w:r>
        <w:rPr>
          <w:b/>
        </w:rPr>
        <w:br w:type="page"/>
      </w:r>
    </w:p>
    <w:p w:rsidR="00630893" w:rsidRPr="004549E8" w:rsidRDefault="004549E8" w:rsidP="004549E8">
      <w:pPr>
        <w:pStyle w:val="NormalWeb"/>
        <w:spacing w:before="240" w:beforeAutospacing="0" w:after="120" w:afterAutospacing="0"/>
        <w:ind w:left="360" w:hanging="360"/>
        <w:rPr>
          <w:rStyle w:val="Strong"/>
        </w:rPr>
      </w:pPr>
      <w:r>
        <w:rPr>
          <w:b/>
        </w:rPr>
        <w:lastRenderedPageBreak/>
        <w:t>4.</w:t>
      </w:r>
      <w:r>
        <w:rPr>
          <w:b/>
        </w:rPr>
        <w:tab/>
      </w:r>
      <w:r w:rsidR="000D6242" w:rsidRPr="004549E8">
        <w:rPr>
          <w:b/>
        </w:rPr>
        <w:t>Report Products, Bibliographic Update, Data Releases, and Groundwater-Model Archives</w:t>
      </w:r>
    </w:p>
    <w:p w:rsidR="004549E8" w:rsidRPr="004549E8" w:rsidRDefault="004549E8" w:rsidP="004549E8">
      <w:pPr>
        <w:spacing w:after="120"/>
        <w:ind w:left="360"/>
      </w:pPr>
      <w:r w:rsidRPr="004549E8">
        <w:rPr>
          <w:i/>
        </w:rPr>
        <w:t>Hawaii volcanic-rock aquifer study—Water Availability and Use Science Program, Regional Groundwater Availability Studies</w:t>
      </w:r>
      <w:r w:rsidRPr="004549E8">
        <w:t>: Project website, http://hi.water.usgs.gov/studies/GWRP/index.html.</w:t>
      </w:r>
    </w:p>
    <w:p w:rsidR="004549E8" w:rsidRPr="004549E8" w:rsidRDefault="004549E8" w:rsidP="004549E8">
      <w:pPr>
        <w:spacing w:after="120"/>
        <w:ind w:left="360"/>
      </w:pPr>
      <w:r w:rsidRPr="004549E8">
        <w:t>Rotzoll, K., Oki, D.S., and El-</w:t>
      </w:r>
      <w:proofErr w:type="spellStart"/>
      <w:r w:rsidRPr="004549E8">
        <w:t>Kadi</w:t>
      </w:r>
      <w:proofErr w:type="spellEnd"/>
      <w:r w:rsidRPr="004549E8">
        <w:t xml:space="preserve">, A.I., 2013, </w:t>
      </w:r>
      <w:r w:rsidRPr="004549E8">
        <w:rPr>
          <w:i/>
        </w:rPr>
        <w:t>Development of a Hydrogeologic Framework Using Tidally Influenced Groundwater Levels, Hawai‘i</w:t>
      </w:r>
      <w:r w:rsidRPr="004549E8">
        <w:t>: Abstract and poster, H11H–1248, American Geophysical Union Fall Meeting, AGU San Francisco, California, December 9–13, 2013.</w:t>
      </w:r>
      <w:r>
        <w:t xml:space="preserve"> </w:t>
      </w:r>
      <w:r w:rsidRPr="004549E8">
        <w:t>http://hi.water.usgs.gov/studies/GWRP/Rotzoll_etal_2013_AGU_Poster.pdf</w:t>
      </w:r>
    </w:p>
    <w:p w:rsidR="004549E8" w:rsidRPr="004549E8" w:rsidRDefault="004549E8" w:rsidP="004549E8">
      <w:pPr>
        <w:spacing w:after="120"/>
        <w:ind w:left="360"/>
      </w:pPr>
      <w:r w:rsidRPr="004549E8">
        <w:t>Rotzoll, K., Oki, D.S., and El-</w:t>
      </w:r>
      <w:proofErr w:type="spellStart"/>
      <w:r w:rsidRPr="004549E8">
        <w:t>Kadi</w:t>
      </w:r>
      <w:proofErr w:type="spellEnd"/>
      <w:r w:rsidRPr="004549E8">
        <w:t xml:space="preserve">, A.I., 2014, </w:t>
      </w:r>
      <w:r w:rsidRPr="004549E8">
        <w:rPr>
          <w:i/>
        </w:rPr>
        <w:t>Up and Down—How Can We Assess Hydraulic Properties from Tidal Fluctuations in Coastal Aquifers?</w:t>
      </w:r>
      <w:r w:rsidRPr="004549E8">
        <w:t>: Abstract and poster H53B-0845, American Geophysical Union Fall Meeting, San Francisco, California, December 15–19, 2014. http://hi.water.usgs.gov/studies/GWRP/Rotzoll_etal_2014_AGU_Poster.pdf</w:t>
      </w:r>
    </w:p>
    <w:p w:rsidR="004549E8" w:rsidRPr="004549E8" w:rsidRDefault="004549E8" w:rsidP="004549E8">
      <w:pPr>
        <w:spacing w:after="120"/>
        <w:ind w:left="360"/>
      </w:pPr>
      <w:r w:rsidRPr="004549E8">
        <w:t xml:space="preserve">Johnson, A.G., Engott, J.A., and Bassiouni, M., 2014, </w:t>
      </w:r>
      <w:r w:rsidRPr="004549E8">
        <w:rPr>
          <w:i/>
        </w:rPr>
        <w:t>Spatially distributed groundwater recharge estimated using a water-budget model for the Island of Maui, Hawai‘i, 1978–2007</w:t>
      </w:r>
      <w:r w:rsidRPr="004549E8">
        <w:t>: U.S. Geological Survey Scientific Investigations Report 2014–5168, 53 p., http://dx.doi.org/10.3133/sir20145168.</w:t>
      </w:r>
    </w:p>
    <w:p w:rsidR="004549E8" w:rsidRPr="004549E8" w:rsidRDefault="004549E8" w:rsidP="004549E8">
      <w:pPr>
        <w:spacing w:after="120"/>
        <w:ind w:left="360"/>
      </w:pPr>
      <w:r w:rsidRPr="004549E8">
        <w:t xml:space="preserve">Rotzoll, K., Izuka, S.K., </w:t>
      </w:r>
      <w:proofErr w:type="spellStart"/>
      <w:r w:rsidRPr="004549E8">
        <w:t>Fienen</w:t>
      </w:r>
      <w:proofErr w:type="spellEnd"/>
      <w:r w:rsidRPr="004549E8">
        <w:t>, M.N., Nishikawa, T., and El-</w:t>
      </w:r>
      <w:proofErr w:type="spellStart"/>
      <w:r w:rsidRPr="004549E8">
        <w:t>Kadi</w:t>
      </w:r>
      <w:proofErr w:type="spellEnd"/>
      <w:r w:rsidRPr="004549E8">
        <w:t xml:space="preserve">, A.I., 2015, </w:t>
      </w:r>
      <w:r w:rsidRPr="004549E8">
        <w:rPr>
          <w:i/>
        </w:rPr>
        <w:t>Modeling Effects of Humans and Climate on Groundwater Resources of Hawai‘i's Volcanic-Rock Aquifers</w:t>
      </w:r>
      <w:r w:rsidRPr="004549E8">
        <w:t>: Abstract and poster H31G-1506, American Geophysical Union Fall Meeting, San Francisco, California, December 14–18, 2015. http://hi.water.usgs.gov/studies/GWRP/Rotzoll_etal_2015_AGU_Poster.pdf</w:t>
      </w:r>
    </w:p>
    <w:p w:rsidR="004549E8" w:rsidRPr="004549E8" w:rsidRDefault="004549E8" w:rsidP="004549E8">
      <w:pPr>
        <w:spacing w:after="120"/>
        <w:ind w:left="360"/>
      </w:pPr>
      <w:r w:rsidRPr="004549E8">
        <w:t xml:space="preserve">Engott, J.A., Johnson, A.G., Bassiouni, Maoya, and Izuka, S.K., 2015, </w:t>
      </w:r>
      <w:r w:rsidRPr="004549E8">
        <w:rPr>
          <w:i/>
        </w:rPr>
        <w:t>Spatially distributed groundwater recharge for 2010 land cover estimated using a water-budget model for the Island of O‘ahu, Hawai‘i</w:t>
      </w:r>
      <w:r w:rsidRPr="004549E8">
        <w:t>: U.S. Geological Survey Scientific Investigations Report 2015–5010, 49 p., http://dx.doi.org/10.3133/sir20155010.</w:t>
      </w:r>
    </w:p>
    <w:p w:rsidR="004549E8" w:rsidRPr="004549E8" w:rsidRDefault="004549E8" w:rsidP="004549E8">
      <w:pPr>
        <w:spacing w:after="120"/>
        <w:ind w:left="360"/>
      </w:pPr>
      <w:r w:rsidRPr="004549E8">
        <w:t xml:space="preserve">Rotzoll, K., S.K. Izuka, T. Nishikawa, M.N. </w:t>
      </w:r>
      <w:proofErr w:type="spellStart"/>
      <w:r w:rsidRPr="004549E8">
        <w:t>Fienen</w:t>
      </w:r>
      <w:proofErr w:type="spellEnd"/>
      <w:r w:rsidRPr="004549E8">
        <w:t>, and A.I. El-</w:t>
      </w:r>
      <w:proofErr w:type="spellStart"/>
      <w:r w:rsidRPr="004549E8">
        <w:t>Kadi</w:t>
      </w:r>
      <w:proofErr w:type="spellEnd"/>
      <w:r w:rsidRPr="004549E8">
        <w:t xml:space="preserve">, 2015, </w:t>
      </w:r>
      <w:r w:rsidRPr="004549E8">
        <w:rPr>
          <w:i/>
        </w:rPr>
        <w:t>Quantifying effects of humans and climate on groundwater resources through modeling of volcanic-rock aquifers of Hawaii</w:t>
      </w:r>
      <w:r w:rsidRPr="004549E8">
        <w:t>: Abstract and oral presentation, Second Conference on Water Resource Sustainability Issues on Tropical Islands. Honolulu, Hawai‘i, December 1–3, 2015.</w:t>
      </w:r>
    </w:p>
    <w:p w:rsidR="004549E8" w:rsidRPr="004549E8" w:rsidRDefault="004549E8" w:rsidP="004549E8">
      <w:pPr>
        <w:spacing w:after="120"/>
        <w:ind w:left="360"/>
      </w:pPr>
      <w:r w:rsidRPr="004549E8">
        <w:t xml:space="preserve">Izuka, S.K., 2015, </w:t>
      </w:r>
      <w:r w:rsidRPr="004549E8">
        <w:rPr>
          <w:i/>
        </w:rPr>
        <w:t>Assessing groundwater availability in Hawai‘i’s diverse hydrogeologic settings</w:t>
      </w:r>
      <w:r w:rsidRPr="004549E8">
        <w:t>: Abstract and oral presentation, Second Conference on Water Resource Sustainability Issues on Tropical Islands. Honolulu, Hawai‘i, December 1–3, 2015.</w:t>
      </w:r>
    </w:p>
    <w:p w:rsidR="004549E8" w:rsidRPr="004549E8" w:rsidRDefault="004549E8" w:rsidP="004549E8">
      <w:pPr>
        <w:spacing w:after="120"/>
        <w:ind w:left="360"/>
      </w:pPr>
      <w:r w:rsidRPr="004549E8">
        <w:t xml:space="preserve">Izuka, S.K., Engott, J.A., Bassiouni, Maoya, Johnson, A.G., Miller, L.D., Rotzoll, Kolja, and Mair, Alan, 2016, </w:t>
      </w:r>
      <w:r w:rsidRPr="004549E8">
        <w:rPr>
          <w:i/>
        </w:rPr>
        <w:t>Volcanic aquifers of Hawai‘i—hydrogeology, water budgets, and conceptual models</w:t>
      </w:r>
      <w:r w:rsidRPr="004549E8">
        <w:t>: U.S. Geological Survey Scientific Investigations Report 2015-5164, 158 p., http://dx.doi.org/10.3133/sir20155164.</w:t>
      </w:r>
    </w:p>
    <w:p w:rsidR="004549E8" w:rsidRPr="004549E8" w:rsidRDefault="004549E8" w:rsidP="004549E8">
      <w:pPr>
        <w:spacing w:after="120"/>
        <w:ind w:left="360"/>
      </w:pPr>
      <w:r w:rsidRPr="004549E8">
        <w:lastRenderedPageBreak/>
        <w:t xml:space="preserve">Izuka, S.K., Rotzoll, K., and Nishikawa, T, 2016, </w:t>
      </w:r>
      <w:r w:rsidRPr="004549E8">
        <w:rPr>
          <w:i/>
        </w:rPr>
        <w:t>Challenges of modeling groundwater in the volcanic-island aquifers of Hawai‘i</w:t>
      </w:r>
      <w:r>
        <w:t>: Abstract and poster</w:t>
      </w:r>
      <w:r w:rsidRPr="004549E8">
        <w:t>, USGS National Groundwater Workshop, Reno, Nevada, September 29–October 4, 2016.</w:t>
      </w:r>
    </w:p>
    <w:p w:rsidR="004549E8" w:rsidRDefault="004549E8" w:rsidP="004549E8">
      <w:pPr>
        <w:spacing w:after="120"/>
        <w:ind w:left="360"/>
      </w:pPr>
      <w:r w:rsidRPr="004549E8">
        <w:t xml:space="preserve">Rotzoll, K., Izuka, S.K., Nishikawa, T., </w:t>
      </w:r>
      <w:proofErr w:type="spellStart"/>
      <w:r w:rsidRPr="004549E8">
        <w:t>Fienen</w:t>
      </w:r>
      <w:proofErr w:type="spellEnd"/>
      <w:r w:rsidRPr="004549E8">
        <w:t>, M.N., and El-</w:t>
      </w:r>
      <w:proofErr w:type="spellStart"/>
      <w:r w:rsidRPr="004549E8">
        <w:t>Kadi</w:t>
      </w:r>
      <w:proofErr w:type="spellEnd"/>
      <w:r w:rsidRPr="004549E8">
        <w:t xml:space="preserve">, A.I., </w:t>
      </w:r>
      <w:r w:rsidR="00AB44F0">
        <w:t xml:space="preserve">2016, </w:t>
      </w:r>
      <w:r>
        <w:rPr>
          <w:i/>
        </w:rPr>
        <w:t>Quantifying effects of humans on groundwater resources of Hawaii through sharp-interface m</w:t>
      </w:r>
      <w:r w:rsidRPr="004549E8">
        <w:rPr>
          <w:i/>
        </w:rPr>
        <w:t>odeling</w:t>
      </w:r>
      <w:r>
        <w:t>: Abstract and poster</w:t>
      </w:r>
      <w:r w:rsidR="00AB44F0">
        <w:t xml:space="preserve"> H23E-1594</w:t>
      </w:r>
      <w:r w:rsidRPr="004549E8">
        <w:t>,</w:t>
      </w:r>
      <w:r w:rsidR="00AB44F0" w:rsidRPr="00AB44F0">
        <w:t xml:space="preserve"> American Geophysical Union Fall Meeting, San Fr</w:t>
      </w:r>
      <w:r w:rsidR="00AB44F0">
        <w:t>ancisco, California, December 12–16, 2016</w:t>
      </w:r>
      <w:r w:rsidR="00AB44F0" w:rsidRPr="00AB44F0">
        <w:t>.</w:t>
      </w:r>
    </w:p>
    <w:p w:rsidR="00AB44F0" w:rsidRDefault="00AB44F0" w:rsidP="00E862D6">
      <w:pPr>
        <w:spacing w:after="120"/>
        <w:ind w:left="360"/>
      </w:pPr>
      <w:r w:rsidRPr="00AB44F0">
        <w:t xml:space="preserve">Rotzoll, K., Izuka, S.K., </w:t>
      </w:r>
      <w:r>
        <w:t xml:space="preserve">2017, </w:t>
      </w:r>
      <w:r w:rsidRPr="00AB44F0">
        <w:rPr>
          <w:i/>
        </w:rPr>
        <w:t>Quantifying effects of historical groundwater development on water resources of Hawaii through sharp-interface modeling</w:t>
      </w:r>
      <w:r>
        <w:t>: Abstract and oral presentation, American Water Works Association / Hawai‘i Section Hawai‘i Water Environment Association 2017</w:t>
      </w:r>
      <w:r w:rsidR="000E5A9E">
        <w:t xml:space="preserve"> P</w:t>
      </w:r>
      <w:r>
        <w:t>acific Water Conference, Honolulu, Hawai</w:t>
      </w:r>
      <w:r w:rsidR="000E5A9E">
        <w:t>‘</w:t>
      </w:r>
      <w:r>
        <w:t>i, February 14</w:t>
      </w:r>
      <w:r w:rsidR="00E862D6">
        <w:t>–</w:t>
      </w:r>
      <w:r>
        <w:t xml:space="preserve">16, 2017.  </w:t>
      </w:r>
    </w:p>
    <w:p w:rsidR="00AB44F0" w:rsidRPr="00AB44F0" w:rsidRDefault="00AB44F0" w:rsidP="00E862D6">
      <w:pPr>
        <w:spacing w:after="120"/>
        <w:ind w:left="360"/>
      </w:pPr>
      <w:r w:rsidRPr="00AB44F0">
        <w:t xml:space="preserve">Rotzoll, K., Izuka, S.K., 2017, </w:t>
      </w:r>
      <w:r w:rsidRPr="00AB44F0">
        <w:rPr>
          <w:i/>
        </w:rPr>
        <w:t>Impacts of groundwater withdrawals in Hawai‘i</w:t>
      </w:r>
      <w:r>
        <w:t xml:space="preserve">: </w:t>
      </w:r>
      <w:r w:rsidRPr="00AB44F0">
        <w:t xml:space="preserve">Abstract and oral presentation, </w:t>
      </w:r>
      <w:r>
        <w:t>Geological Society of America Cordilleran</w:t>
      </w:r>
      <w:r w:rsidRPr="00AB44F0">
        <w:t xml:space="preserve"> Section</w:t>
      </w:r>
      <w:r w:rsidR="00915633">
        <w:t>,</w:t>
      </w:r>
      <w:r w:rsidR="00915633" w:rsidRPr="00915633">
        <w:t xml:space="preserve"> 113</w:t>
      </w:r>
      <w:r w:rsidR="00915633" w:rsidRPr="00915633">
        <w:rPr>
          <w:vertAlign w:val="superscript"/>
        </w:rPr>
        <w:t>th</w:t>
      </w:r>
      <w:r w:rsidR="00915633" w:rsidRPr="00915633">
        <w:t xml:space="preserve"> Annual </w:t>
      </w:r>
      <w:r>
        <w:t>Meeting, Honolulu, Hawai</w:t>
      </w:r>
      <w:r w:rsidR="000E5A9E">
        <w:t>‘</w:t>
      </w:r>
      <w:r>
        <w:t>i, May 23</w:t>
      </w:r>
      <w:r w:rsidR="00E862D6">
        <w:t>–</w:t>
      </w:r>
      <w:r>
        <w:t>25</w:t>
      </w:r>
      <w:r w:rsidRPr="00AB44F0">
        <w:t>, 2017.</w:t>
      </w:r>
    </w:p>
    <w:p w:rsidR="00E341B3" w:rsidRDefault="004549E8" w:rsidP="00847BD0">
      <w:pPr>
        <w:pStyle w:val="NormalWeb"/>
        <w:keepNext/>
        <w:spacing w:before="240" w:beforeAutospacing="0" w:after="120" w:afterAutospacing="0"/>
        <w:ind w:left="360" w:hanging="360"/>
        <w:rPr>
          <w:b/>
          <w:bCs/>
        </w:rPr>
      </w:pPr>
      <w:r w:rsidRPr="000E5A9E">
        <w:rPr>
          <w:b/>
          <w:bCs/>
        </w:rPr>
        <w:t xml:space="preserve"> </w:t>
      </w:r>
    </w:p>
    <w:p w:rsidR="00E341B3" w:rsidRDefault="00E341B3">
      <w:pPr>
        <w:rPr>
          <w:rFonts w:ascii="Arial" w:hAnsi="Arial" w:cs="Arial"/>
          <w:b/>
          <w:bCs/>
        </w:rPr>
      </w:pPr>
      <w:r>
        <w:rPr>
          <w:b/>
          <w:bCs/>
        </w:rPr>
        <w:br w:type="page"/>
      </w:r>
    </w:p>
    <w:p w:rsidR="00631AC7" w:rsidRPr="000E5A9E" w:rsidRDefault="00630893" w:rsidP="00847BD0">
      <w:pPr>
        <w:pStyle w:val="NormalWeb"/>
        <w:keepNext/>
        <w:spacing w:before="240" w:beforeAutospacing="0" w:after="120" w:afterAutospacing="0"/>
        <w:ind w:left="360" w:hanging="360"/>
        <w:rPr>
          <w:b/>
        </w:rPr>
      </w:pPr>
      <w:r w:rsidRPr="000E5A9E">
        <w:rPr>
          <w:b/>
          <w:bCs/>
        </w:rPr>
        <w:lastRenderedPageBreak/>
        <w:t>5</w:t>
      </w:r>
      <w:r w:rsidR="000E5A9E">
        <w:rPr>
          <w:b/>
          <w:bCs/>
        </w:rPr>
        <w:t xml:space="preserve">. </w:t>
      </w:r>
      <w:r w:rsidR="00E876A9" w:rsidRPr="000E5A9E">
        <w:rPr>
          <w:b/>
          <w:bCs/>
        </w:rPr>
        <w:t>PROJECT</w:t>
      </w:r>
      <w:r w:rsidR="00D54F3C" w:rsidRPr="000E5A9E">
        <w:rPr>
          <w:b/>
          <w:bCs/>
        </w:rPr>
        <w:t xml:space="preserve"> TEAM DIRECTORY</w:t>
      </w:r>
    </w:p>
    <w:p w:rsidR="00A8029D" w:rsidRPr="004D17E9" w:rsidRDefault="00A8029D" w:rsidP="00A8029D">
      <w:pPr>
        <w:ind w:left="360"/>
        <w:rPr>
          <w:b/>
          <w:bCs/>
        </w:rPr>
      </w:pPr>
      <w:r w:rsidRPr="004D17E9">
        <w:rPr>
          <w:b/>
          <w:bCs/>
        </w:rPr>
        <w:t>Scot K. Izuka</w:t>
      </w:r>
    </w:p>
    <w:p w:rsidR="00A8029D" w:rsidRPr="004D17E9" w:rsidRDefault="00A8029D" w:rsidP="00A8029D">
      <w:pPr>
        <w:ind w:left="360"/>
      </w:pPr>
      <w:r w:rsidRPr="004D17E9">
        <w:t>Hydrologist</w:t>
      </w:r>
    </w:p>
    <w:p w:rsidR="00A8029D" w:rsidRPr="004D17E9" w:rsidRDefault="00A8029D" w:rsidP="00A8029D">
      <w:pPr>
        <w:ind w:left="360"/>
      </w:pPr>
      <w:r w:rsidRPr="004D17E9">
        <w:t>U.S. Geological Survey</w:t>
      </w:r>
    </w:p>
    <w:p w:rsidR="00A8029D" w:rsidRPr="004D17E9" w:rsidRDefault="00A8029D" w:rsidP="00A8029D">
      <w:pPr>
        <w:ind w:left="360"/>
      </w:pPr>
      <w:r w:rsidRPr="004D17E9">
        <w:t>Pacific Islands Water Science Center</w:t>
      </w:r>
    </w:p>
    <w:p w:rsidR="00A8029D" w:rsidRPr="004D17E9" w:rsidRDefault="00A8029D" w:rsidP="00A8029D">
      <w:pPr>
        <w:ind w:left="360"/>
      </w:pPr>
      <w:r w:rsidRPr="004D17E9">
        <w:t>1845 Wasp Blvd, Bldg. 176</w:t>
      </w:r>
    </w:p>
    <w:p w:rsidR="00A8029D" w:rsidRPr="004D17E9" w:rsidRDefault="00A8029D" w:rsidP="00A8029D">
      <w:pPr>
        <w:ind w:left="360"/>
      </w:pPr>
      <w:r w:rsidRPr="004D17E9">
        <w:t>Honolulu, Hawai</w:t>
      </w:r>
      <w:r>
        <w:t>‘</w:t>
      </w:r>
      <w:r w:rsidRPr="004D17E9">
        <w:t>i 96818</w:t>
      </w:r>
    </w:p>
    <w:p w:rsidR="00A8029D" w:rsidRPr="004D17E9" w:rsidRDefault="00A8029D" w:rsidP="00A8029D">
      <w:pPr>
        <w:ind w:left="360"/>
      </w:pPr>
      <w:r w:rsidRPr="004D17E9">
        <w:t>808-690-9586</w:t>
      </w:r>
    </w:p>
    <w:p w:rsidR="00A8029D" w:rsidRPr="004D17E9" w:rsidRDefault="00C86443" w:rsidP="00A8029D">
      <w:pPr>
        <w:ind w:left="360"/>
      </w:pPr>
      <w:hyperlink r:id="rId9" w:history="1">
        <w:r w:rsidR="00A8029D" w:rsidRPr="004D17E9">
          <w:rPr>
            <w:rStyle w:val="Hyperlink"/>
            <w:color w:val="auto"/>
          </w:rPr>
          <w:t>skizuka@usgs.gov</w:t>
        </w:r>
      </w:hyperlink>
    </w:p>
    <w:p w:rsidR="00A8029D" w:rsidRPr="004D17E9" w:rsidRDefault="00A8029D" w:rsidP="00A8029D">
      <w:pPr>
        <w:pStyle w:val="BodyTextIndent"/>
      </w:pPr>
      <w:r w:rsidRPr="004D17E9">
        <w:t xml:space="preserve">Roles: Project lead, principal </w:t>
      </w:r>
      <w:proofErr w:type="spellStart"/>
      <w:r w:rsidRPr="004D17E9">
        <w:t>workplan</w:t>
      </w:r>
      <w:proofErr w:type="spellEnd"/>
      <w:r w:rsidRPr="004D17E9">
        <w:t xml:space="preserve"> author, development of hydrogeologic framework, development of conceptual model, groundwater modeling.</w:t>
      </w:r>
    </w:p>
    <w:p w:rsidR="00A8029D" w:rsidRPr="004D17E9" w:rsidRDefault="00A8029D" w:rsidP="00A8029D">
      <w:pPr>
        <w:ind w:left="360"/>
        <w:rPr>
          <w:b/>
        </w:rPr>
      </w:pPr>
      <w:r w:rsidRPr="004D17E9">
        <w:rPr>
          <w:b/>
        </w:rPr>
        <w:t>Kolja Rotzoll</w:t>
      </w:r>
    </w:p>
    <w:p w:rsidR="00A8029D" w:rsidRPr="004D17E9" w:rsidRDefault="00A8029D" w:rsidP="00A8029D">
      <w:pPr>
        <w:ind w:left="360"/>
      </w:pPr>
      <w:r w:rsidRPr="004D17E9">
        <w:t xml:space="preserve">University of Hawai‘i, Mānoa </w:t>
      </w:r>
    </w:p>
    <w:p w:rsidR="00A8029D" w:rsidRPr="004D17E9" w:rsidRDefault="00A8029D" w:rsidP="00A8029D">
      <w:pPr>
        <w:ind w:left="360"/>
      </w:pPr>
      <w:r w:rsidRPr="004D17E9">
        <w:t>W</w:t>
      </w:r>
      <w:r>
        <w:t>ater Resources Research Center</w:t>
      </w:r>
    </w:p>
    <w:p w:rsidR="00A8029D" w:rsidRPr="004D17E9" w:rsidRDefault="00A8029D" w:rsidP="00A8029D">
      <w:pPr>
        <w:ind w:left="360"/>
        <w:rPr>
          <w:i/>
        </w:rPr>
      </w:pPr>
      <w:r w:rsidRPr="004D17E9">
        <w:rPr>
          <w:i/>
        </w:rPr>
        <w:t>Currently located at:</w:t>
      </w:r>
    </w:p>
    <w:p w:rsidR="00A8029D" w:rsidRPr="004D17E9" w:rsidRDefault="00A8029D" w:rsidP="00A8029D">
      <w:pPr>
        <w:ind w:left="360"/>
      </w:pPr>
      <w:r w:rsidRPr="004D17E9">
        <w:t>U.S. Geological Survey</w:t>
      </w:r>
    </w:p>
    <w:p w:rsidR="00A8029D" w:rsidRPr="004D17E9" w:rsidRDefault="00A8029D" w:rsidP="00A8029D">
      <w:pPr>
        <w:ind w:left="360"/>
      </w:pPr>
      <w:r w:rsidRPr="004D17E9">
        <w:t xml:space="preserve">Pacific Islands Water Science Center </w:t>
      </w:r>
    </w:p>
    <w:p w:rsidR="00A8029D" w:rsidRPr="004D17E9" w:rsidRDefault="00A8029D" w:rsidP="00A8029D">
      <w:pPr>
        <w:ind w:left="360"/>
      </w:pPr>
      <w:r w:rsidRPr="004D17E9">
        <w:t>1845 Wasp Blvd, Bldg. 176</w:t>
      </w:r>
    </w:p>
    <w:p w:rsidR="00A8029D" w:rsidRPr="004D17E9" w:rsidRDefault="00A8029D" w:rsidP="00A8029D">
      <w:pPr>
        <w:ind w:left="360"/>
      </w:pPr>
      <w:r w:rsidRPr="004D17E9">
        <w:t>Honolulu, Hawai</w:t>
      </w:r>
      <w:r>
        <w:t xml:space="preserve">‘i </w:t>
      </w:r>
      <w:r w:rsidRPr="004D17E9">
        <w:t>96818</w:t>
      </w:r>
    </w:p>
    <w:p w:rsidR="00A8029D" w:rsidRPr="004D17E9" w:rsidRDefault="00A8029D" w:rsidP="00A8029D">
      <w:pPr>
        <w:ind w:left="360"/>
      </w:pPr>
      <w:r w:rsidRPr="004D17E9">
        <w:t>808-690-9565</w:t>
      </w:r>
    </w:p>
    <w:p w:rsidR="00A8029D" w:rsidRPr="004D17E9" w:rsidRDefault="00C86443" w:rsidP="00A8029D">
      <w:pPr>
        <w:ind w:left="360"/>
      </w:pPr>
      <w:hyperlink r:id="rId10" w:history="1">
        <w:r w:rsidR="00A8029D" w:rsidRPr="004D17E9">
          <w:rPr>
            <w:rStyle w:val="Hyperlink"/>
            <w:color w:val="auto"/>
          </w:rPr>
          <w:t>kolja@usgs.gov</w:t>
        </w:r>
      </w:hyperlink>
    </w:p>
    <w:p w:rsidR="00A8029D" w:rsidRPr="004D17E9" w:rsidRDefault="00A8029D" w:rsidP="00A8029D">
      <w:pPr>
        <w:pStyle w:val="BodyTextIndent"/>
      </w:pPr>
      <w:r w:rsidRPr="004D17E9">
        <w:t>Roles: Hydrogeologic framework</w:t>
      </w:r>
      <w:r w:rsidR="008C15E1">
        <w:t xml:space="preserve">, </w:t>
      </w:r>
      <w:r w:rsidR="00AE6B28" w:rsidRPr="004D17E9">
        <w:t>groundwater</w:t>
      </w:r>
      <w:r w:rsidR="00AE6B28">
        <w:t>-</w:t>
      </w:r>
      <w:r w:rsidR="008C15E1">
        <w:t>re</w:t>
      </w:r>
      <w:r w:rsidR="00AE6B28">
        <w:t>charge revisions,</w:t>
      </w:r>
      <w:r w:rsidRPr="004D17E9">
        <w:t xml:space="preserve"> and groundwater modeling.</w:t>
      </w:r>
    </w:p>
    <w:p w:rsidR="00A8029D" w:rsidRPr="004D17E9" w:rsidRDefault="00A8029D" w:rsidP="00A8029D">
      <w:pPr>
        <w:ind w:left="360"/>
        <w:rPr>
          <w:b/>
          <w:bCs/>
        </w:rPr>
      </w:pPr>
      <w:r w:rsidRPr="004D17E9">
        <w:rPr>
          <w:b/>
          <w:bCs/>
        </w:rPr>
        <w:t xml:space="preserve">Adam G. Johnson </w:t>
      </w:r>
    </w:p>
    <w:p w:rsidR="00A8029D" w:rsidRPr="004D17E9" w:rsidRDefault="00A8029D" w:rsidP="00A8029D">
      <w:pPr>
        <w:ind w:left="360"/>
      </w:pPr>
      <w:r w:rsidRPr="004D17E9">
        <w:t>Hydrologist</w:t>
      </w:r>
    </w:p>
    <w:p w:rsidR="00A8029D" w:rsidRPr="004D17E9" w:rsidRDefault="00A8029D" w:rsidP="00A8029D">
      <w:pPr>
        <w:ind w:left="360"/>
      </w:pPr>
      <w:r w:rsidRPr="004D17E9">
        <w:t>U.S. Geological Survey</w:t>
      </w:r>
    </w:p>
    <w:p w:rsidR="00A8029D" w:rsidRPr="004D17E9" w:rsidRDefault="00A8029D" w:rsidP="00A8029D">
      <w:pPr>
        <w:ind w:left="360"/>
      </w:pPr>
      <w:r w:rsidRPr="004D17E9">
        <w:t xml:space="preserve">Pacific Islands Water Science Center </w:t>
      </w:r>
    </w:p>
    <w:p w:rsidR="00A8029D" w:rsidRPr="004D17E9" w:rsidRDefault="00A8029D" w:rsidP="00A8029D">
      <w:pPr>
        <w:ind w:left="360"/>
      </w:pPr>
      <w:r w:rsidRPr="004D17E9">
        <w:t>1845 Wasp Blvd, Bldg. 176</w:t>
      </w:r>
    </w:p>
    <w:p w:rsidR="00A8029D" w:rsidRPr="004D17E9" w:rsidRDefault="00A8029D" w:rsidP="00A8029D">
      <w:pPr>
        <w:ind w:left="360"/>
      </w:pPr>
      <w:r w:rsidRPr="004D17E9">
        <w:t>Honolulu, Hawai</w:t>
      </w:r>
      <w:r>
        <w:t>‘i</w:t>
      </w:r>
      <w:r w:rsidRPr="004D17E9">
        <w:t xml:space="preserve"> 96818</w:t>
      </w:r>
    </w:p>
    <w:p w:rsidR="00A8029D" w:rsidRPr="004D17E9" w:rsidRDefault="00A8029D" w:rsidP="00A8029D">
      <w:pPr>
        <w:ind w:left="360"/>
      </w:pPr>
      <w:r w:rsidRPr="004D17E9">
        <w:t>808-690-9583</w:t>
      </w:r>
    </w:p>
    <w:p w:rsidR="00A8029D" w:rsidRPr="004D17E9" w:rsidRDefault="00C86443" w:rsidP="00A8029D">
      <w:pPr>
        <w:ind w:left="360"/>
      </w:pPr>
      <w:hyperlink r:id="rId11" w:history="1">
        <w:r w:rsidR="00A8029D" w:rsidRPr="004D17E9">
          <w:rPr>
            <w:rStyle w:val="Hyperlink"/>
            <w:color w:val="auto"/>
          </w:rPr>
          <w:t>ajohnson@usgs.gov</w:t>
        </w:r>
      </w:hyperlink>
    </w:p>
    <w:p w:rsidR="00A8029D" w:rsidRPr="004D17E9" w:rsidRDefault="00A8029D" w:rsidP="00A8029D">
      <w:pPr>
        <w:pStyle w:val="BodyTextIndent"/>
        <w:rPr>
          <w:b/>
          <w:bCs/>
        </w:rPr>
      </w:pPr>
      <w:r w:rsidRPr="004D17E9">
        <w:t>Roles: Groundwater-recharge computations</w:t>
      </w:r>
      <w:r>
        <w:t>.</w:t>
      </w:r>
    </w:p>
    <w:p w:rsidR="00A8029D" w:rsidRPr="00A32EAB" w:rsidRDefault="00A8029D" w:rsidP="00A8029D">
      <w:pPr>
        <w:ind w:left="360"/>
        <w:rPr>
          <w:b/>
          <w:bCs/>
        </w:rPr>
      </w:pPr>
      <w:r w:rsidRPr="00A32EAB">
        <w:rPr>
          <w:b/>
          <w:bCs/>
        </w:rPr>
        <w:t>Delwyn S. Oki</w:t>
      </w:r>
    </w:p>
    <w:p w:rsidR="00A8029D" w:rsidRPr="00A32EAB" w:rsidRDefault="00A8029D" w:rsidP="00A8029D">
      <w:pPr>
        <w:ind w:left="360"/>
      </w:pPr>
      <w:r w:rsidRPr="00A32EAB">
        <w:t>Hydrologist</w:t>
      </w:r>
    </w:p>
    <w:p w:rsidR="00A8029D" w:rsidRPr="00A32EAB" w:rsidRDefault="00A8029D" w:rsidP="00A8029D">
      <w:pPr>
        <w:ind w:left="360"/>
      </w:pPr>
      <w:r w:rsidRPr="00A32EAB">
        <w:t>U.S. Geological Survey</w:t>
      </w:r>
    </w:p>
    <w:p w:rsidR="00A8029D" w:rsidRPr="00A32EAB" w:rsidRDefault="00A8029D" w:rsidP="00A8029D">
      <w:pPr>
        <w:ind w:left="360"/>
      </w:pPr>
      <w:r w:rsidRPr="00A32EAB">
        <w:t xml:space="preserve">Pacific Islands Water Science Center </w:t>
      </w:r>
    </w:p>
    <w:p w:rsidR="00A8029D" w:rsidRPr="00A32EAB" w:rsidRDefault="00A8029D" w:rsidP="00A8029D">
      <w:pPr>
        <w:ind w:left="360"/>
      </w:pPr>
      <w:r w:rsidRPr="00A32EAB">
        <w:t>1845 Wasp Blvd, Bldg. 176</w:t>
      </w:r>
    </w:p>
    <w:p w:rsidR="00A8029D" w:rsidRPr="00A32EAB" w:rsidRDefault="00A8029D" w:rsidP="00A8029D">
      <w:pPr>
        <w:ind w:left="360"/>
      </w:pPr>
      <w:r w:rsidRPr="00A32EAB">
        <w:t>Honolulu, Hawai</w:t>
      </w:r>
      <w:r>
        <w:t xml:space="preserve">‘i </w:t>
      </w:r>
      <w:r w:rsidRPr="00A32EAB">
        <w:t>96818</w:t>
      </w:r>
    </w:p>
    <w:p w:rsidR="00A8029D" w:rsidRPr="00A32EAB" w:rsidRDefault="00A8029D" w:rsidP="00A8029D">
      <w:pPr>
        <w:ind w:left="360"/>
      </w:pPr>
      <w:r w:rsidRPr="00A32EAB">
        <w:t>808-690-9598</w:t>
      </w:r>
    </w:p>
    <w:p w:rsidR="00A8029D" w:rsidRPr="00A32EAB" w:rsidRDefault="00C86443" w:rsidP="00A8029D">
      <w:pPr>
        <w:ind w:left="360"/>
      </w:pPr>
      <w:hyperlink r:id="rId12" w:history="1">
        <w:r w:rsidR="00A8029D" w:rsidRPr="00A32EAB">
          <w:rPr>
            <w:rStyle w:val="Hyperlink"/>
            <w:color w:val="auto"/>
          </w:rPr>
          <w:t>dsoki@usgs.gov</w:t>
        </w:r>
      </w:hyperlink>
    </w:p>
    <w:p w:rsidR="00A8029D" w:rsidRPr="00A32EAB" w:rsidRDefault="00A8029D" w:rsidP="00A8029D">
      <w:pPr>
        <w:pStyle w:val="BodyTextIndent"/>
      </w:pPr>
      <w:r w:rsidRPr="00A32EAB">
        <w:t>Roles: Work</w:t>
      </w:r>
      <w:r>
        <w:t>-</w:t>
      </w:r>
      <w:r w:rsidRPr="00A32EAB">
        <w:t>plan development, advisor for groundwater modeling, PIWSC groundwater specialist.</w:t>
      </w:r>
    </w:p>
    <w:p w:rsidR="00E341B3" w:rsidRDefault="00E341B3">
      <w:pPr>
        <w:rPr>
          <w:rFonts w:ascii="Arial" w:hAnsi="Arial" w:cs="Arial"/>
          <w:b/>
          <w:bCs/>
        </w:rPr>
      </w:pPr>
      <w:r>
        <w:rPr>
          <w:b/>
          <w:bCs/>
        </w:rPr>
        <w:br w:type="page"/>
      </w:r>
    </w:p>
    <w:p w:rsidR="00E93739" w:rsidRDefault="00630893" w:rsidP="0040335E">
      <w:pPr>
        <w:pStyle w:val="NormalWeb"/>
        <w:spacing w:before="240" w:beforeAutospacing="0" w:after="120" w:afterAutospacing="0"/>
        <w:ind w:left="360" w:hanging="360"/>
        <w:rPr>
          <w:b/>
          <w:bCs/>
        </w:rPr>
      </w:pPr>
      <w:r w:rsidRPr="0040335E">
        <w:rPr>
          <w:b/>
          <w:bCs/>
        </w:rPr>
        <w:lastRenderedPageBreak/>
        <w:t>6</w:t>
      </w:r>
      <w:r w:rsidR="0040335E">
        <w:rPr>
          <w:b/>
          <w:bCs/>
        </w:rPr>
        <w:t>.</w:t>
      </w:r>
      <w:r w:rsidR="0040335E">
        <w:rPr>
          <w:b/>
          <w:bCs/>
        </w:rPr>
        <w:tab/>
      </w:r>
      <w:r w:rsidR="00417943" w:rsidRPr="0040335E">
        <w:rPr>
          <w:b/>
          <w:bCs/>
        </w:rPr>
        <w:t xml:space="preserve">PHOTOS, ANIMATIONS, </w:t>
      </w:r>
      <w:r w:rsidR="00EC4B81" w:rsidRPr="0040335E">
        <w:rPr>
          <w:b/>
          <w:bCs/>
        </w:rPr>
        <w:t xml:space="preserve">AND </w:t>
      </w:r>
      <w:r w:rsidR="002003A2" w:rsidRPr="0040335E">
        <w:rPr>
          <w:b/>
          <w:bCs/>
        </w:rPr>
        <w:t>GRAPHICS</w:t>
      </w:r>
      <w:r w:rsidR="00BE53F9" w:rsidRPr="0040335E">
        <w:rPr>
          <w:b/>
          <w:bCs/>
        </w:rPr>
        <w:t xml:space="preserve"> </w:t>
      </w:r>
    </w:p>
    <w:p w:rsidR="00C86443" w:rsidRDefault="00C86443" w:rsidP="0040335E">
      <w:pPr>
        <w:pStyle w:val="NormalWeb"/>
        <w:spacing w:before="240" w:beforeAutospacing="0" w:after="120" w:afterAutospacing="0"/>
        <w:ind w:left="360" w:hanging="360"/>
        <w:rPr>
          <w:b/>
          <w:bCs/>
        </w:rPr>
      </w:pPr>
      <w:r w:rsidRPr="00C86443">
        <w:drawing>
          <wp:inline distT="0" distB="0" distL="0" distR="0" wp14:anchorId="41E0A4D8" wp14:editId="6220B8E6">
            <wp:extent cx="5486400" cy="44823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86400" cy="4482318"/>
                    </a:xfrm>
                    <a:prstGeom prst="rect">
                      <a:avLst/>
                    </a:prstGeom>
                  </pic:spPr>
                </pic:pic>
              </a:graphicData>
            </a:graphic>
          </wp:inline>
        </w:drawing>
      </w:r>
    </w:p>
    <w:p w:rsidR="00E341B3" w:rsidRPr="00E341B3" w:rsidRDefault="00E341B3" w:rsidP="0040335E">
      <w:pPr>
        <w:pStyle w:val="NormalWeb"/>
        <w:spacing w:before="240" w:beforeAutospacing="0" w:after="120" w:afterAutospacing="0"/>
        <w:ind w:left="360" w:hanging="360"/>
        <w:rPr>
          <w:rFonts w:ascii="Times New Roman" w:hAnsi="Times New Roman" w:cs="Times New Roman"/>
          <w:bCs/>
        </w:rPr>
      </w:pPr>
      <w:r>
        <w:rPr>
          <w:b/>
          <w:bCs/>
        </w:rPr>
        <w:t xml:space="preserve">Figure 1. </w:t>
      </w:r>
      <w:r w:rsidR="00B428CE">
        <w:rPr>
          <w:rFonts w:ascii="Times New Roman" w:hAnsi="Times New Roman" w:cs="Times New Roman"/>
          <w:bCs/>
        </w:rPr>
        <w:t>O</w:t>
      </w:r>
      <w:r w:rsidR="002A2D99">
        <w:rPr>
          <w:rFonts w:ascii="Times New Roman" w:hAnsi="Times New Roman" w:cs="Times New Roman"/>
          <w:bCs/>
        </w:rPr>
        <w:t>‘</w:t>
      </w:r>
      <w:r w:rsidR="00B428CE">
        <w:rPr>
          <w:rFonts w:ascii="Times New Roman" w:hAnsi="Times New Roman" w:cs="Times New Roman"/>
          <w:bCs/>
        </w:rPr>
        <w:t>ahu’s most extensive</w:t>
      </w:r>
      <w:r w:rsidR="00B428CE" w:rsidRPr="00B428CE">
        <w:rPr>
          <w:rFonts w:ascii="Times New Roman" w:hAnsi="Times New Roman" w:cs="Times New Roman"/>
          <w:bCs/>
        </w:rPr>
        <w:t xml:space="preserve"> </w:t>
      </w:r>
      <w:r w:rsidR="00B428CE">
        <w:rPr>
          <w:rFonts w:ascii="Times New Roman" w:hAnsi="Times New Roman" w:cs="Times New Roman"/>
          <w:bCs/>
        </w:rPr>
        <w:t xml:space="preserve">fresh </w:t>
      </w:r>
      <w:r w:rsidR="00B428CE" w:rsidRPr="00B428CE">
        <w:rPr>
          <w:rFonts w:ascii="Times New Roman" w:hAnsi="Times New Roman" w:cs="Times New Roman"/>
          <w:bCs/>
        </w:rPr>
        <w:t xml:space="preserve">groundwater </w:t>
      </w:r>
      <w:r w:rsidR="00B428CE">
        <w:rPr>
          <w:rFonts w:ascii="Times New Roman" w:hAnsi="Times New Roman" w:cs="Times New Roman"/>
          <w:bCs/>
        </w:rPr>
        <w:t>resources exist as lenses floating on saltwater. This m</w:t>
      </w:r>
      <w:r w:rsidRPr="00E341B3">
        <w:rPr>
          <w:rFonts w:ascii="Times New Roman" w:hAnsi="Times New Roman" w:cs="Times New Roman"/>
          <w:bCs/>
        </w:rPr>
        <w:t>ap show</w:t>
      </w:r>
      <w:r w:rsidR="00B428CE">
        <w:rPr>
          <w:rFonts w:ascii="Times New Roman" w:hAnsi="Times New Roman" w:cs="Times New Roman"/>
          <w:bCs/>
        </w:rPr>
        <w:t>s how groundwater withdrawals from 1870 to the present have caused</w:t>
      </w:r>
      <w:r w:rsidR="00371931">
        <w:rPr>
          <w:rFonts w:ascii="Times New Roman" w:hAnsi="Times New Roman" w:cs="Times New Roman"/>
          <w:bCs/>
        </w:rPr>
        <w:t xml:space="preserve"> the interface</w:t>
      </w:r>
      <w:r w:rsidR="00B428CE">
        <w:rPr>
          <w:rFonts w:ascii="Times New Roman" w:hAnsi="Times New Roman" w:cs="Times New Roman"/>
          <w:bCs/>
        </w:rPr>
        <w:t xml:space="preserve"> between freshwater and saltwater to rise. The rise is particularly evident in </w:t>
      </w:r>
      <w:r w:rsidR="00446283">
        <w:rPr>
          <w:rFonts w:ascii="Times New Roman" w:hAnsi="Times New Roman" w:cs="Times New Roman"/>
          <w:bCs/>
        </w:rPr>
        <w:t xml:space="preserve">the </w:t>
      </w:r>
      <w:r w:rsidR="00B428CE">
        <w:rPr>
          <w:rFonts w:ascii="Times New Roman" w:hAnsi="Times New Roman" w:cs="Times New Roman"/>
          <w:bCs/>
        </w:rPr>
        <w:t xml:space="preserve">heavily pumped aquifers of Honolulu and surrounding Pearl Harbor. </w:t>
      </w:r>
      <w:r w:rsidRPr="00E341B3">
        <w:rPr>
          <w:rFonts w:ascii="Times New Roman" w:hAnsi="Times New Roman" w:cs="Times New Roman"/>
          <w:bCs/>
        </w:rPr>
        <w:t xml:space="preserve">  </w:t>
      </w:r>
    </w:p>
    <w:p w:rsidR="00E341B3" w:rsidRDefault="00E341B3" w:rsidP="0040335E">
      <w:pPr>
        <w:pStyle w:val="NormalWeb"/>
        <w:spacing w:before="240" w:beforeAutospacing="0" w:after="120" w:afterAutospacing="0"/>
        <w:ind w:left="360" w:hanging="360"/>
        <w:rPr>
          <w:b/>
          <w:bCs/>
        </w:rPr>
      </w:pPr>
    </w:p>
    <w:p w:rsidR="00371931" w:rsidRDefault="00C86443" w:rsidP="00FF154D">
      <w:pPr>
        <w:pStyle w:val="NormalWeb"/>
        <w:spacing w:before="240" w:beforeAutospacing="0" w:after="120" w:afterAutospacing="0"/>
        <w:ind w:left="360" w:hanging="360"/>
        <w:rPr>
          <w:b/>
          <w:bCs/>
        </w:rPr>
      </w:pPr>
      <w:r w:rsidRPr="00C86443">
        <w:lastRenderedPageBreak/>
        <w:drawing>
          <wp:inline distT="0" distB="0" distL="0" distR="0" wp14:anchorId="3E91A6D3" wp14:editId="74B9CDE8">
            <wp:extent cx="5486400" cy="44823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86400" cy="4482318"/>
                    </a:xfrm>
                    <a:prstGeom prst="rect">
                      <a:avLst/>
                    </a:prstGeom>
                  </pic:spPr>
                </pic:pic>
              </a:graphicData>
            </a:graphic>
          </wp:inline>
        </w:drawing>
      </w:r>
      <w:bookmarkStart w:id="0" w:name="_GoBack"/>
      <w:bookmarkEnd w:id="0"/>
    </w:p>
    <w:p w:rsidR="00E341B3" w:rsidRPr="00FF154D" w:rsidRDefault="002A2D99" w:rsidP="00FF154D">
      <w:pPr>
        <w:pStyle w:val="NormalWeb"/>
        <w:spacing w:before="240" w:beforeAutospacing="0" w:after="120" w:afterAutospacing="0"/>
        <w:ind w:left="360" w:hanging="360"/>
        <w:rPr>
          <w:rFonts w:ascii="Times New Roman" w:hAnsi="Times New Roman" w:cs="Times New Roman"/>
          <w:bCs/>
        </w:rPr>
      </w:pPr>
      <w:r>
        <w:rPr>
          <w:b/>
          <w:bCs/>
        </w:rPr>
        <w:t xml:space="preserve">Figure 2. </w:t>
      </w:r>
      <w:r w:rsidRPr="002A2D99">
        <w:rPr>
          <w:rFonts w:ascii="Times New Roman" w:hAnsi="Times New Roman" w:cs="Times New Roman"/>
          <w:bCs/>
        </w:rPr>
        <w:t xml:space="preserve">Many streams </w:t>
      </w:r>
      <w:r w:rsidR="005C31CD">
        <w:rPr>
          <w:rFonts w:ascii="Times New Roman" w:hAnsi="Times New Roman" w:cs="Times New Roman"/>
          <w:bCs/>
        </w:rPr>
        <w:t xml:space="preserve">and springs </w:t>
      </w:r>
      <w:r w:rsidRPr="002A2D99">
        <w:rPr>
          <w:rFonts w:ascii="Times New Roman" w:hAnsi="Times New Roman" w:cs="Times New Roman"/>
          <w:bCs/>
        </w:rPr>
        <w:t>on O</w:t>
      </w:r>
      <w:r>
        <w:rPr>
          <w:rFonts w:ascii="Times New Roman" w:hAnsi="Times New Roman" w:cs="Times New Roman"/>
          <w:bCs/>
        </w:rPr>
        <w:t>‘</w:t>
      </w:r>
      <w:r w:rsidRPr="002A2D99">
        <w:rPr>
          <w:rFonts w:ascii="Times New Roman" w:hAnsi="Times New Roman" w:cs="Times New Roman"/>
          <w:bCs/>
        </w:rPr>
        <w:t>ahu</w:t>
      </w:r>
      <w:r>
        <w:rPr>
          <w:rFonts w:ascii="Times New Roman" w:hAnsi="Times New Roman" w:cs="Times New Roman"/>
          <w:bCs/>
        </w:rPr>
        <w:t xml:space="preserve"> </w:t>
      </w:r>
      <w:r w:rsidR="005C31CD">
        <w:rPr>
          <w:rFonts w:ascii="Times New Roman" w:hAnsi="Times New Roman" w:cs="Times New Roman"/>
          <w:bCs/>
        </w:rPr>
        <w:t>receive</w:t>
      </w:r>
      <w:r w:rsidRPr="00B428CE">
        <w:rPr>
          <w:rFonts w:ascii="Times New Roman" w:hAnsi="Times New Roman" w:cs="Times New Roman"/>
          <w:bCs/>
        </w:rPr>
        <w:t xml:space="preserve"> groundwater </w:t>
      </w:r>
      <w:r w:rsidR="005C31CD">
        <w:rPr>
          <w:rFonts w:ascii="Times New Roman" w:hAnsi="Times New Roman" w:cs="Times New Roman"/>
          <w:bCs/>
        </w:rPr>
        <w:t>discharge</w:t>
      </w:r>
      <w:r w:rsidR="0083474B">
        <w:rPr>
          <w:rFonts w:ascii="Times New Roman" w:hAnsi="Times New Roman" w:cs="Times New Roman"/>
          <w:bCs/>
        </w:rPr>
        <w:t xml:space="preserve"> that</w:t>
      </w:r>
      <w:r>
        <w:rPr>
          <w:rFonts w:ascii="Times New Roman" w:hAnsi="Times New Roman" w:cs="Times New Roman"/>
          <w:bCs/>
        </w:rPr>
        <w:t xml:space="preserve"> </w:t>
      </w:r>
      <w:r w:rsidR="005C31CD">
        <w:rPr>
          <w:rFonts w:ascii="Times New Roman" w:hAnsi="Times New Roman" w:cs="Times New Roman"/>
          <w:bCs/>
        </w:rPr>
        <w:t>maintains flow du</w:t>
      </w:r>
      <w:r w:rsidR="0083474B">
        <w:rPr>
          <w:rFonts w:ascii="Times New Roman" w:hAnsi="Times New Roman" w:cs="Times New Roman"/>
          <w:bCs/>
        </w:rPr>
        <w:t>ring periods of</w:t>
      </w:r>
      <w:r w:rsidR="005C31CD">
        <w:rPr>
          <w:rFonts w:ascii="Times New Roman" w:hAnsi="Times New Roman" w:cs="Times New Roman"/>
          <w:bCs/>
        </w:rPr>
        <w:t xml:space="preserve"> no rainfall</w:t>
      </w:r>
      <w:r w:rsidR="00371931">
        <w:rPr>
          <w:rFonts w:ascii="Times New Roman" w:hAnsi="Times New Roman" w:cs="Times New Roman"/>
          <w:bCs/>
        </w:rPr>
        <w:t>; this flow</w:t>
      </w:r>
      <w:r w:rsidR="005C31CD">
        <w:rPr>
          <w:rFonts w:ascii="Times New Roman" w:hAnsi="Times New Roman" w:cs="Times New Roman"/>
          <w:bCs/>
        </w:rPr>
        <w:t xml:space="preserve"> </w:t>
      </w:r>
      <w:r w:rsidR="0083474B">
        <w:rPr>
          <w:rFonts w:ascii="Times New Roman" w:hAnsi="Times New Roman" w:cs="Times New Roman"/>
          <w:bCs/>
        </w:rPr>
        <w:t>supports</w:t>
      </w:r>
      <w:r w:rsidR="005C31CD">
        <w:rPr>
          <w:rFonts w:ascii="Times New Roman" w:hAnsi="Times New Roman" w:cs="Times New Roman"/>
          <w:bCs/>
        </w:rPr>
        <w:t xml:space="preserve"> aquatic habitats</w:t>
      </w:r>
      <w:r w:rsidR="00371931">
        <w:rPr>
          <w:rFonts w:ascii="Times New Roman" w:hAnsi="Times New Roman" w:cs="Times New Roman"/>
          <w:bCs/>
        </w:rPr>
        <w:t>,</w:t>
      </w:r>
      <w:r w:rsidR="0083474B">
        <w:rPr>
          <w:rFonts w:ascii="Times New Roman" w:hAnsi="Times New Roman" w:cs="Times New Roman"/>
          <w:bCs/>
        </w:rPr>
        <w:t xml:space="preserve"> taro cultivation</w:t>
      </w:r>
      <w:r w:rsidR="00371931">
        <w:rPr>
          <w:rFonts w:ascii="Times New Roman" w:hAnsi="Times New Roman" w:cs="Times New Roman"/>
          <w:bCs/>
        </w:rPr>
        <w:t>, and other beneficial uses of stream water.</w:t>
      </w:r>
      <w:r w:rsidR="005C31CD">
        <w:rPr>
          <w:rFonts w:ascii="Times New Roman" w:hAnsi="Times New Roman" w:cs="Times New Roman"/>
          <w:bCs/>
        </w:rPr>
        <w:t xml:space="preserve"> </w:t>
      </w:r>
      <w:r>
        <w:rPr>
          <w:rFonts w:ascii="Times New Roman" w:hAnsi="Times New Roman" w:cs="Times New Roman"/>
          <w:bCs/>
        </w:rPr>
        <w:t>This m</w:t>
      </w:r>
      <w:r w:rsidRPr="00E341B3">
        <w:rPr>
          <w:rFonts w:ascii="Times New Roman" w:hAnsi="Times New Roman" w:cs="Times New Roman"/>
          <w:bCs/>
        </w:rPr>
        <w:t>ap show</w:t>
      </w:r>
      <w:r>
        <w:rPr>
          <w:rFonts w:ascii="Times New Roman" w:hAnsi="Times New Roman" w:cs="Times New Roman"/>
          <w:bCs/>
        </w:rPr>
        <w:t xml:space="preserve">s how </w:t>
      </w:r>
      <w:r w:rsidR="005C31CD">
        <w:rPr>
          <w:rFonts w:ascii="Times New Roman" w:hAnsi="Times New Roman" w:cs="Times New Roman"/>
          <w:bCs/>
        </w:rPr>
        <w:t>historical groundwater withdrawals have reduced groundwater discharge to streams</w:t>
      </w:r>
      <w:r w:rsidR="002C745E">
        <w:rPr>
          <w:rFonts w:ascii="Times New Roman" w:hAnsi="Times New Roman" w:cs="Times New Roman"/>
          <w:bCs/>
        </w:rPr>
        <w:t xml:space="preserve"> and springs</w:t>
      </w:r>
      <w:r w:rsidR="005C31CD">
        <w:rPr>
          <w:rFonts w:ascii="Times New Roman" w:hAnsi="Times New Roman" w:cs="Times New Roman"/>
          <w:bCs/>
        </w:rPr>
        <w:t>, particul</w:t>
      </w:r>
      <w:r w:rsidR="002C745E">
        <w:rPr>
          <w:rFonts w:ascii="Times New Roman" w:hAnsi="Times New Roman" w:cs="Times New Roman"/>
          <w:bCs/>
        </w:rPr>
        <w:t>arly</w:t>
      </w:r>
      <w:r w:rsidR="0083474B">
        <w:rPr>
          <w:rFonts w:ascii="Times New Roman" w:hAnsi="Times New Roman" w:cs="Times New Roman"/>
          <w:bCs/>
        </w:rPr>
        <w:t xml:space="preserve"> those</w:t>
      </w:r>
      <w:r w:rsidR="002C745E">
        <w:rPr>
          <w:rFonts w:ascii="Times New Roman" w:hAnsi="Times New Roman" w:cs="Times New Roman"/>
          <w:bCs/>
        </w:rPr>
        <w:t xml:space="preserve"> </w:t>
      </w:r>
      <w:r w:rsidR="0083474B">
        <w:rPr>
          <w:rFonts w:ascii="Times New Roman" w:hAnsi="Times New Roman" w:cs="Times New Roman"/>
          <w:bCs/>
        </w:rPr>
        <w:t>i</w:t>
      </w:r>
      <w:r w:rsidR="002C745E">
        <w:rPr>
          <w:rFonts w:ascii="Times New Roman" w:hAnsi="Times New Roman" w:cs="Times New Roman"/>
          <w:bCs/>
        </w:rPr>
        <w:t>n the</w:t>
      </w:r>
      <w:r>
        <w:rPr>
          <w:rFonts w:ascii="Times New Roman" w:hAnsi="Times New Roman" w:cs="Times New Roman"/>
          <w:bCs/>
        </w:rPr>
        <w:t xml:space="preserve"> </w:t>
      </w:r>
      <w:r w:rsidR="002C745E">
        <w:rPr>
          <w:rFonts w:ascii="Times New Roman" w:hAnsi="Times New Roman" w:cs="Times New Roman"/>
          <w:bCs/>
        </w:rPr>
        <w:t>Ko‘olau R</w:t>
      </w:r>
      <w:r w:rsidR="0083474B">
        <w:rPr>
          <w:rFonts w:ascii="Times New Roman" w:hAnsi="Times New Roman" w:cs="Times New Roman"/>
          <w:bCs/>
        </w:rPr>
        <w:t xml:space="preserve">ange and near </w:t>
      </w:r>
      <w:r w:rsidR="002C745E">
        <w:rPr>
          <w:rFonts w:ascii="Times New Roman" w:hAnsi="Times New Roman" w:cs="Times New Roman"/>
          <w:bCs/>
        </w:rPr>
        <w:t>Pearl Harbor</w:t>
      </w:r>
      <w:r>
        <w:rPr>
          <w:rFonts w:ascii="Times New Roman" w:hAnsi="Times New Roman" w:cs="Times New Roman"/>
          <w:bCs/>
        </w:rPr>
        <w:t>.</w:t>
      </w:r>
    </w:p>
    <w:sectPr w:rsidR="00E341B3" w:rsidRPr="00FF154D">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32E" w:rsidRDefault="0094032E">
      <w:r>
        <w:separator/>
      </w:r>
    </w:p>
  </w:endnote>
  <w:endnote w:type="continuationSeparator" w:id="0">
    <w:p w:rsidR="0094032E" w:rsidRDefault="0094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awnTime">
    <w:panose1 w:val="000004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A1" w:rsidRDefault="007B17A1"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17A1" w:rsidRDefault="007B17A1" w:rsidP="00B31E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A1" w:rsidRDefault="007B17A1"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6443">
      <w:rPr>
        <w:rStyle w:val="PageNumber"/>
        <w:noProof/>
      </w:rPr>
      <w:t>11</w:t>
    </w:r>
    <w:r>
      <w:rPr>
        <w:rStyle w:val="PageNumber"/>
      </w:rPr>
      <w:fldChar w:fldCharType="end"/>
    </w:r>
  </w:p>
  <w:p w:rsidR="007B17A1" w:rsidRDefault="007B17A1" w:rsidP="00B31E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32E" w:rsidRDefault="0094032E">
      <w:r>
        <w:separator/>
      </w:r>
    </w:p>
  </w:footnote>
  <w:footnote w:type="continuationSeparator" w:id="0">
    <w:p w:rsidR="0094032E" w:rsidRDefault="009403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13C6"/>
    <w:multiLevelType w:val="hybridMultilevel"/>
    <w:tmpl w:val="96F0F65E"/>
    <w:lvl w:ilvl="0" w:tplc="04090001">
      <w:start w:val="1"/>
      <w:numFmt w:val="bullet"/>
      <w:lvlText w:val=""/>
      <w:lvlJc w:val="left"/>
      <w:pPr>
        <w:tabs>
          <w:tab w:val="num" w:pos="3510"/>
        </w:tabs>
        <w:ind w:left="3510" w:hanging="360"/>
      </w:pPr>
      <w:rPr>
        <w:rFonts w:ascii="Symbol" w:hAnsi="Symbol" w:hint="default"/>
      </w:rPr>
    </w:lvl>
    <w:lvl w:ilvl="1" w:tplc="04090003" w:tentative="1">
      <w:start w:val="1"/>
      <w:numFmt w:val="bullet"/>
      <w:lvlText w:val="o"/>
      <w:lvlJc w:val="left"/>
      <w:pPr>
        <w:tabs>
          <w:tab w:val="num" w:pos="4230"/>
        </w:tabs>
        <w:ind w:left="4230" w:hanging="360"/>
      </w:pPr>
      <w:rPr>
        <w:rFonts w:ascii="Courier New" w:hAnsi="Courier New" w:cs="Courier New" w:hint="default"/>
      </w:rPr>
    </w:lvl>
    <w:lvl w:ilvl="2" w:tplc="04090005" w:tentative="1">
      <w:start w:val="1"/>
      <w:numFmt w:val="bullet"/>
      <w:lvlText w:val=""/>
      <w:lvlJc w:val="left"/>
      <w:pPr>
        <w:tabs>
          <w:tab w:val="num" w:pos="4950"/>
        </w:tabs>
        <w:ind w:left="4950" w:hanging="360"/>
      </w:pPr>
      <w:rPr>
        <w:rFonts w:ascii="Wingdings" w:hAnsi="Wingdings" w:hint="default"/>
      </w:rPr>
    </w:lvl>
    <w:lvl w:ilvl="3" w:tplc="04090001" w:tentative="1">
      <w:start w:val="1"/>
      <w:numFmt w:val="bullet"/>
      <w:lvlText w:val=""/>
      <w:lvlJc w:val="left"/>
      <w:pPr>
        <w:tabs>
          <w:tab w:val="num" w:pos="5670"/>
        </w:tabs>
        <w:ind w:left="5670" w:hanging="360"/>
      </w:pPr>
      <w:rPr>
        <w:rFonts w:ascii="Symbol" w:hAnsi="Symbol" w:hint="default"/>
      </w:rPr>
    </w:lvl>
    <w:lvl w:ilvl="4" w:tplc="04090003" w:tentative="1">
      <w:start w:val="1"/>
      <w:numFmt w:val="bullet"/>
      <w:lvlText w:val="o"/>
      <w:lvlJc w:val="left"/>
      <w:pPr>
        <w:tabs>
          <w:tab w:val="num" w:pos="6390"/>
        </w:tabs>
        <w:ind w:left="6390" w:hanging="360"/>
      </w:pPr>
      <w:rPr>
        <w:rFonts w:ascii="Courier New" w:hAnsi="Courier New" w:cs="Courier New" w:hint="default"/>
      </w:rPr>
    </w:lvl>
    <w:lvl w:ilvl="5" w:tplc="04090005" w:tentative="1">
      <w:start w:val="1"/>
      <w:numFmt w:val="bullet"/>
      <w:lvlText w:val=""/>
      <w:lvlJc w:val="left"/>
      <w:pPr>
        <w:tabs>
          <w:tab w:val="num" w:pos="7110"/>
        </w:tabs>
        <w:ind w:left="7110" w:hanging="360"/>
      </w:pPr>
      <w:rPr>
        <w:rFonts w:ascii="Wingdings" w:hAnsi="Wingdings" w:hint="default"/>
      </w:rPr>
    </w:lvl>
    <w:lvl w:ilvl="6" w:tplc="04090001" w:tentative="1">
      <w:start w:val="1"/>
      <w:numFmt w:val="bullet"/>
      <w:lvlText w:val=""/>
      <w:lvlJc w:val="left"/>
      <w:pPr>
        <w:tabs>
          <w:tab w:val="num" w:pos="7830"/>
        </w:tabs>
        <w:ind w:left="7830" w:hanging="360"/>
      </w:pPr>
      <w:rPr>
        <w:rFonts w:ascii="Symbol" w:hAnsi="Symbol" w:hint="default"/>
      </w:rPr>
    </w:lvl>
    <w:lvl w:ilvl="7" w:tplc="04090003" w:tentative="1">
      <w:start w:val="1"/>
      <w:numFmt w:val="bullet"/>
      <w:lvlText w:val="o"/>
      <w:lvlJc w:val="left"/>
      <w:pPr>
        <w:tabs>
          <w:tab w:val="num" w:pos="8550"/>
        </w:tabs>
        <w:ind w:left="8550" w:hanging="360"/>
      </w:pPr>
      <w:rPr>
        <w:rFonts w:ascii="Courier New" w:hAnsi="Courier New" w:cs="Courier New" w:hint="default"/>
      </w:rPr>
    </w:lvl>
    <w:lvl w:ilvl="8" w:tplc="04090005" w:tentative="1">
      <w:start w:val="1"/>
      <w:numFmt w:val="bullet"/>
      <w:lvlText w:val=""/>
      <w:lvlJc w:val="left"/>
      <w:pPr>
        <w:tabs>
          <w:tab w:val="num" w:pos="9270"/>
        </w:tabs>
        <w:ind w:left="9270" w:hanging="360"/>
      </w:pPr>
      <w:rPr>
        <w:rFonts w:ascii="Wingdings" w:hAnsi="Wingdings" w:hint="default"/>
      </w:rPr>
    </w:lvl>
  </w:abstractNum>
  <w:abstractNum w:abstractNumId="1">
    <w:nsid w:val="05F66DD8"/>
    <w:multiLevelType w:val="hybridMultilevel"/>
    <w:tmpl w:val="877E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09259E"/>
    <w:multiLevelType w:val="hybridMultilevel"/>
    <w:tmpl w:val="8C7277E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B625C7"/>
    <w:multiLevelType w:val="hybridMultilevel"/>
    <w:tmpl w:val="FB7A1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115E8C"/>
    <w:multiLevelType w:val="hybridMultilevel"/>
    <w:tmpl w:val="D488E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2C5466"/>
    <w:multiLevelType w:val="hybridMultilevel"/>
    <w:tmpl w:val="39DC1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1459C4"/>
    <w:multiLevelType w:val="multilevel"/>
    <w:tmpl w:val="B64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351BB4"/>
    <w:multiLevelType w:val="hybridMultilevel"/>
    <w:tmpl w:val="DECCE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534BA9"/>
    <w:multiLevelType w:val="hybridMultilevel"/>
    <w:tmpl w:val="C45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626DDF"/>
    <w:multiLevelType w:val="hybridMultilevel"/>
    <w:tmpl w:val="A6CEE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D10315"/>
    <w:multiLevelType w:val="hybridMultilevel"/>
    <w:tmpl w:val="DBB69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F323D3"/>
    <w:multiLevelType w:val="multilevel"/>
    <w:tmpl w:val="103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C31A03"/>
    <w:multiLevelType w:val="hybridMultilevel"/>
    <w:tmpl w:val="3CA4D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27A0809"/>
    <w:multiLevelType w:val="hybridMultilevel"/>
    <w:tmpl w:val="FD1EF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A56AB0"/>
    <w:multiLevelType w:val="hybridMultilevel"/>
    <w:tmpl w:val="701C5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B90983"/>
    <w:multiLevelType w:val="hybridMultilevel"/>
    <w:tmpl w:val="0F5EF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EE127D"/>
    <w:multiLevelType w:val="hybridMultilevel"/>
    <w:tmpl w:val="E070A71C"/>
    <w:lvl w:ilvl="0" w:tplc="03FACC1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151A10"/>
    <w:multiLevelType w:val="hybridMultilevel"/>
    <w:tmpl w:val="4070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4A5174"/>
    <w:multiLevelType w:val="hybridMultilevel"/>
    <w:tmpl w:val="0E9271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4471260"/>
    <w:multiLevelType w:val="hybridMultilevel"/>
    <w:tmpl w:val="60700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C1345CE"/>
    <w:multiLevelType w:val="hybridMultilevel"/>
    <w:tmpl w:val="6DA0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F972134"/>
    <w:multiLevelType w:val="hybridMultilevel"/>
    <w:tmpl w:val="03729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6"/>
  </w:num>
  <w:num w:numId="4">
    <w:abstractNumId w:val="18"/>
  </w:num>
  <w:num w:numId="5">
    <w:abstractNumId w:val="7"/>
  </w:num>
  <w:num w:numId="6">
    <w:abstractNumId w:val="11"/>
  </w:num>
  <w:num w:numId="7">
    <w:abstractNumId w:val="8"/>
  </w:num>
  <w:num w:numId="8">
    <w:abstractNumId w:val="5"/>
  </w:num>
  <w:num w:numId="9">
    <w:abstractNumId w:val="0"/>
  </w:num>
  <w:num w:numId="10">
    <w:abstractNumId w:val="19"/>
  </w:num>
  <w:num w:numId="11">
    <w:abstractNumId w:val="17"/>
  </w:num>
  <w:num w:numId="12">
    <w:abstractNumId w:val="20"/>
  </w:num>
  <w:num w:numId="13">
    <w:abstractNumId w:val="3"/>
  </w:num>
  <w:num w:numId="14">
    <w:abstractNumId w:val="14"/>
  </w:num>
  <w:num w:numId="15">
    <w:abstractNumId w:val="10"/>
  </w:num>
  <w:num w:numId="16">
    <w:abstractNumId w:val="4"/>
  </w:num>
  <w:num w:numId="17">
    <w:abstractNumId w:val="21"/>
  </w:num>
  <w:num w:numId="18">
    <w:abstractNumId w:val="1"/>
  </w:num>
  <w:num w:numId="19">
    <w:abstractNumId w:val="2"/>
  </w:num>
  <w:num w:numId="20">
    <w:abstractNumId w:val="15"/>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05"/>
    <w:rsid w:val="00001387"/>
    <w:rsid w:val="00006631"/>
    <w:rsid w:val="00016DC1"/>
    <w:rsid w:val="00027918"/>
    <w:rsid w:val="000371A8"/>
    <w:rsid w:val="00044E96"/>
    <w:rsid w:val="0005649D"/>
    <w:rsid w:val="00066FFC"/>
    <w:rsid w:val="00077F0D"/>
    <w:rsid w:val="000803A0"/>
    <w:rsid w:val="0008768A"/>
    <w:rsid w:val="000922C6"/>
    <w:rsid w:val="000A4E2F"/>
    <w:rsid w:val="000C5403"/>
    <w:rsid w:val="000D270D"/>
    <w:rsid w:val="000D6242"/>
    <w:rsid w:val="000E11D7"/>
    <w:rsid w:val="000E2916"/>
    <w:rsid w:val="000E5A9E"/>
    <w:rsid w:val="00113ECE"/>
    <w:rsid w:val="00125193"/>
    <w:rsid w:val="00143CB4"/>
    <w:rsid w:val="00151654"/>
    <w:rsid w:val="001621AB"/>
    <w:rsid w:val="0016303D"/>
    <w:rsid w:val="00166511"/>
    <w:rsid w:val="00175D9D"/>
    <w:rsid w:val="00180779"/>
    <w:rsid w:val="001A3B17"/>
    <w:rsid w:val="001C70F8"/>
    <w:rsid w:val="001E1A1C"/>
    <w:rsid w:val="001E2E33"/>
    <w:rsid w:val="001E50BE"/>
    <w:rsid w:val="002003A2"/>
    <w:rsid w:val="00207293"/>
    <w:rsid w:val="0022283D"/>
    <w:rsid w:val="00223543"/>
    <w:rsid w:val="00242BA1"/>
    <w:rsid w:val="002549C8"/>
    <w:rsid w:val="002674EA"/>
    <w:rsid w:val="00267BE4"/>
    <w:rsid w:val="002716AD"/>
    <w:rsid w:val="0027276F"/>
    <w:rsid w:val="00282D8C"/>
    <w:rsid w:val="00296629"/>
    <w:rsid w:val="002A06D9"/>
    <w:rsid w:val="002A2D99"/>
    <w:rsid w:val="002C745E"/>
    <w:rsid w:val="00302713"/>
    <w:rsid w:val="00302A88"/>
    <w:rsid w:val="00305CF2"/>
    <w:rsid w:val="00314D05"/>
    <w:rsid w:val="00337CEB"/>
    <w:rsid w:val="00354973"/>
    <w:rsid w:val="00371931"/>
    <w:rsid w:val="00385D20"/>
    <w:rsid w:val="003A0083"/>
    <w:rsid w:val="003B0380"/>
    <w:rsid w:val="003C04E0"/>
    <w:rsid w:val="003F1792"/>
    <w:rsid w:val="0040335E"/>
    <w:rsid w:val="00417943"/>
    <w:rsid w:val="00421745"/>
    <w:rsid w:val="0042699E"/>
    <w:rsid w:val="0043646F"/>
    <w:rsid w:val="004431FF"/>
    <w:rsid w:val="00446283"/>
    <w:rsid w:val="00452C78"/>
    <w:rsid w:val="0045318C"/>
    <w:rsid w:val="004549E8"/>
    <w:rsid w:val="00460094"/>
    <w:rsid w:val="00474FF6"/>
    <w:rsid w:val="004771AF"/>
    <w:rsid w:val="00482123"/>
    <w:rsid w:val="00485ACA"/>
    <w:rsid w:val="0049620A"/>
    <w:rsid w:val="004C2782"/>
    <w:rsid w:val="004D7A46"/>
    <w:rsid w:val="004E1276"/>
    <w:rsid w:val="00507801"/>
    <w:rsid w:val="005115EC"/>
    <w:rsid w:val="00525EC9"/>
    <w:rsid w:val="00536721"/>
    <w:rsid w:val="005522D5"/>
    <w:rsid w:val="005561F9"/>
    <w:rsid w:val="00556A24"/>
    <w:rsid w:val="005674B5"/>
    <w:rsid w:val="00574CDE"/>
    <w:rsid w:val="00593B05"/>
    <w:rsid w:val="005B70D6"/>
    <w:rsid w:val="005C31CD"/>
    <w:rsid w:val="005D52EB"/>
    <w:rsid w:val="005D6647"/>
    <w:rsid w:val="005E7A23"/>
    <w:rsid w:val="00615015"/>
    <w:rsid w:val="00622146"/>
    <w:rsid w:val="00630893"/>
    <w:rsid w:val="00631AC7"/>
    <w:rsid w:val="00643B90"/>
    <w:rsid w:val="00653D3F"/>
    <w:rsid w:val="00655B21"/>
    <w:rsid w:val="0067074A"/>
    <w:rsid w:val="00670ADF"/>
    <w:rsid w:val="00670D4C"/>
    <w:rsid w:val="00694DF8"/>
    <w:rsid w:val="006D122D"/>
    <w:rsid w:val="006D18EA"/>
    <w:rsid w:val="006D4AE6"/>
    <w:rsid w:val="006E5857"/>
    <w:rsid w:val="0071329A"/>
    <w:rsid w:val="00715E1E"/>
    <w:rsid w:val="00722C13"/>
    <w:rsid w:val="0074672C"/>
    <w:rsid w:val="0075024F"/>
    <w:rsid w:val="00760E91"/>
    <w:rsid w:val="00762724"/>
    <w:rsid w:val="00763915"/>
    <w:rsid w:val="0076554F"/>
    <w:rsid w:val="00767313"/>
    <w:rsid w:val="00771637"/>
    <w:rsid w:val="00783266"/>
    <w:rsid w:val="00791D01"/>
    <w:rsid w:val="007B17A1"/>
    <w:rsid w:val="007B7A24"/>
    <w:rsid w:val="007D36DE"/>
    <w:rsid w:val="00803AB7"/>
    <w:rsid w:val="00810075"/>
    <w:rsid w:val="00823948"/>
    <w:rsid w:val="00830EB9"/>
    <w:rsid w:val="0083474B"/>
    <w:rsid w:val="00842135"/>
    <w:rsid w:val="0084678A"/>
    <w:rsid w:val="00847BD0"/>
    <w:rsid w:val="00847FF0"/>
    <w:rsid w:val="0085269A"/>
    <w:rsid w:val="008543CC"/>
    <w:rsid w:val="008773A6"/>
    <w:rsid w:val="008842E6"/>
    <w:rsid w:val="0089573E"/>
    <w:rsid w:val="008A0764"/>
    <w:rsid w:val="008A1790"/>
    <w:rsid w:val="008A5765"/>
    <w:rsid w:val="008A6CC9"/>
    <w:rsid w:val="008B0AC7"/>
    <w:rsid w:val="008C15E1"/>
    <w:rsid w:val="008C2A25"/>
    <w:rsid w:val="008C4BE2"/>
    <w:rsid w:val="009010CD"/>
    <w:rsid w:val="009078B8"/>
    <w:rsid w:val="009115CB"/>
    <w:rsid w:val="00914B63"/>
    <w:rsid w:val="00915633"/>
    <w:rsid w:val="0092611D"/>
    <w:rsid w:val="0093341E"/>
    <w:rsid w:val="00934947"/>
    <w:rsid w:val="0094032E"/>
    <w:rsid w:val="00947E84"/>
    <w:rsid w:val="009816CD"/>
    <w:rsid w:val="00983E7C"/>
    <w:rsid w:val="0098443D"/>
    <w:rsid w:val="009A36CE"/>
    <w:rsid w:val="009B308F"/>
    <w:rsid w:val="009D25B1"/>
    <w:rsid w:val="009D79E9"/>
    <w:rsid w:val="009E7A1A"/>
    <w:rsid w:val="009F55ED"/>
    <w:rsid w:val="00A05874"/>
    <w:rsid w:val="00A26ED4"/>
    <w:rsid w:val="00A54C8B"/>
    <w:rsid w:val="00A70327"/>
    <w:rsid w:val="00A70BEF"/>
    <w:rsid w:val="00A75F8E"/>
    <w:rsid w:val="00A8029D"/>
    <w:rsid w:val="00A82A20"/>
    <w:rsid w:val="00A93D99"/>
    <w:rsid w:val="00AA4C60"/>
    <w:rsid w:val="00AA4FF2"/>
    <w:rsid w:val="00AB44F0"/>
    <w:rsid w:val="00AD4BD7"/>
    <w:rsid w:val="00AD5189"/>
    <w:rsid w:val="00AD5DD4"/>
    <w:rsid w:val="00AE6B28"/>
    <w:rsid w:val="00AF5A3B"/>
    <w:rsid w:val="00AF64F3"/>
    <w:rsid w:val="00B16C95"/>
    <w:rsid w:val="00B1793C"/>
    <w:rsid w:val="00B31EE5"/>
    <w:rsid w:val="00B414FF"/>
    <w:rsid w:val="00B428CE"/>
    <w:rsid w:val="00B5000D"/>
    <w:rsid w:val="00B70DB3"/>
    <w:rsid w:val="00BC1514"/>
    <w:rsid w:val="00BD0C18"/>
    <w:rsid w:val="00BD25F2"/>
    <w:rsid w:val="00BD673F"/>
    <w:rsid w:val="00BE53F9"/>
    <w:rsid w:val="00BF25ED"/>
    <w:rsid w:val="00C163F4"/>
    <w:rsid w:val="00C2618C"/>
    <w:rsid w:val="00C460A5"/>
    <w:rsid w:val="00C47D87"/>
    <w:rsid w:val="00C512E0"/>
    <w:rsid w:val="00C53575"/>
    <w:rsid w:val="00C76FD3"/>
    <w:rsid w:val="00C80CBC"/>
    <w:rsid w:val="00C86443"/>
    <w:rsid w:val="00C86688"/>
    <w:rsid w:val="00CA0CC9"/>
    <w:rsid w:val="00CB7D81"/>
    <w:rsid w:val="00CC72B2"/>
    <w:rsid w:val="00CD44C1"/>
    <w:rsid w:val="00CF073E"/>
    <w:rsid w:val="00D11AC6"/>
    <w:rsid w:val="00D1235C"/>
    <w:rsid w:val="00D14A23"/>
    <w:rsid w:val="00D16401"/>
    <w:rsid w:val="00D20926"/>
    <w:rsid w:val="00D2422A"/>
    <w:rsid w:val="00D336AF"/>
    <w:rsid w:val="00D3724A"/>
    <w:rsid w:val="00D40138"/>
    <w:rsid w:val="00D4598C"/>
    <w:rsid w:val="00D47004"/>
    <w:rsid w:val="00D54F3C"/>
    <w:rsid w:val="00D62916"/>
    <w:rsid w:val="00D760EA"/>
    <w:rsid w:val="00D77789"/>
    <w:rsid w:val="00D93AE2"/>
    <w:rsid w:val="00DA4D04"/>
    <w:rsid w:val="00DC4D27"/>
    <w:rsid w:val="00DC6A51"/>
    <w:rsid w:val="00DE24E5"/>
    <w:rsid w:val="00DF2B03"/>
    <w:rsid w:val="00E019F0"/>
    <w:rsid w:val="00E0235E"/>
    <w:rsid w:val="00E11C32"/>
    <w:rsid w:val="00E23C8A"/>
    <w:rsid w:val="00E24336"/>
    <w:rsid w:val="00E251E3"/>
    <w:rsid w:val="00E25605"/>
    <w:rsid w:val="00E3079C"/>
    <w:rsid w:val="00E341B3"/>
    <w:rsid w:val="00E36E4C"/>
    <w:rsid w:val="00E37A6A"/>
    <w:rsid w:val="00E57C12"/>
    <w:rsid w:val="00E64D6D"/>
    <w:rsid w:val="00E70052"/>
    <w:rsid w:val="00E80378"/>
    <w:rsid w:val="00E862D6"/>
    <w:rsid w:val="00E876A9"/>
    <w:rsid w:val="00E93739"/>
    <w:rsid w:val="00EB01B5"/>
    <w:rsid w:val="00EB416B"/>
    <w:rsid w:val="00EC4B81"/>
    <w:rsid w:val="00ED0E80"/>
    <w:rsid w:val="00EE5131"/>
    <w:rsid w:val="00EE7DAC"/>
    <w:rsid w:val="00EF4838"/>
    <w:rsid w:val="00F33DFA"/>
    <w:rsid w:val="00F34E4B"/>
    <w:rsid w:val="00F3700B"/>
    <w:rsid w:val="00F376A7"/>
    <w:rsid w:val="00F42EF9"/>
    <w:rsid w:val="00F4780A"/>
    <w:rsid w:val="00F8795D"/>
    <w:rsid w:val="00FB0489"/>
    <w:rsid w:val="00FD07F1"/>
    <w:rsid w:val="00FD087F"/>
    <w:rsid w:val="00FD5E3D"/>
    <w:rsid w:val="00FD6F47"/>
    <w:rsid w:val="00FF0046"/>
    <w:rsid w:val="00FF154D"/>
    <w:rsid w:val="00FF7B2B"/>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uiPriority w:val="99"/>
    <w:rsid w:val="00302713"/>
    <w:rPr>
      <w:sz w:val="16"/>
      <w:szCs w:val="16"/>
    </w:rPr>
  </w:style>
  <w:style w:type="paragraph" w:styleId="CommentText">
    <w:name w:val="annotation text"/>
    <w:basedOn w:val="Normal"/>
    <w:link w:val="CommentTextChar"/>
    <w:uiPriority w:val="99"/>
    <w:rsid w:val="00302713"/>
    <w:rPr>
      <w:sz w:val="20"/>
      <w:szCs w:val="20"/>
    </w:rPr>
  </w:style>
  <w:style w:type="character" w:customStyle="1" w:styleId="CommentTextChar">
    <w:name w:val="Comment Text Char"/>
    <w:basedOn w:val="DefaultParagraphFont"/>
    <w:link w:val="CommentText"/>
    <w:uiPriority w:val="99"/>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 w:type="paragraph" w:customStyle="1" w:styleId="paragraph">
    <w:name w:val="paragraph"/>
    <w:link w:val="paragraphChar"/>
    <w:qFormat/>
    <w:rsid w:val="002674EA"/>
    <w:pPr>
      <w:ind w:firstLine="720"/>
    </w:pPr>
    <w:rPr>
      <w:rFonts w:ascii="HawnTime" w:eastAsia="Calibri" w:hAnsi="HawnTime"/>
      <w:sz w:val="24"/>
      <w:szCs w:val="24"/>
    </w:rPr>
  </w:style>
  <w:style w:type="character" w:customStyle="1" w:styleId="paragraphChar">
    <w:name w:val="paragraph Char"/>
    <w:link w:val="paragraph"/>
    <w:rsid w:val="002674EA"/>
    <w:rPr>
      <w:rFonts w:ascii="HawnTime" w:eastAsia="Calibri" w:hAnsi="HawnTime"/>
      <w:sz w:val="24"/>
      <w:szCs w:val="24"/>
    </w:rPr>
  </w:style>
  <w:style w:type="table" w:styleId="MediumGrid1-Accent2">
    <w:name w:val="Medium Grid 1 Accent 2"/>
    <w:basedOn w:val="TableNormal"/>
    <w:uiPriority w:val="67"/>
    <w:rsid w:val="002674E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BodyTextIndent2">
    <w:name w:val="Body Text Indent 2"/>
    <w:basedOn w:val="Normal"/>
    <w:link w:val="BodyTextIndent2Char"/>
    <w:rsid w:val="00AB44F0"/>
    <w:pPr>
      <w:spacing w:after="120" w:line="480" w:lineRule="auto"/>
      <w:ind w:left="360"/>
    </w:pPr>
  </w:style>
  <w:style w:type="character" w:customStyle="1" w:styleId="BodyTextIndent2Char">
    <w:name w:val="Body Text Indent 2 Char"/>
    <w:basedOn w:val="DefaultParagraphFont"/>
    <w:link w:val="BodyTextIndent2"/>
    <w:rsid w:val="00AB44F0"/>
    <w:rPr>
      <w:sz w:val="24"/>
      <w:szCs w:val="24"/>
    </w:rPr>
  </w:style>
  <w:style w:type="paragraph" w:styleId="BodyTextIndent">
    <w:name w:val="Body Text Indent"/>
    <w:basedOn w:val="Normal"/>
    <w:link w:val="BodyTextIndentChar"/>
    <w:rsid w:val="00A8029D"/>
    <w:pPr>
      <w:spacing w:after="120"/>
      <w:ind w:left="360"/>
    </w:pPr>
  </w:style>
  <w:style w:type="character" w:customStyle="1" w:styleId="BodyTextIndentChar">
    <w:name w:val="Body Text Indent Char"/>
    <w:basedOn w:val="DefaultParagraphFont"/>
    <w:link w:val="BodyTextIndent"/>
    <w:rsid w:val="00A8029D"/>
    <w:rPr>
      <w:sz w:val="24"/>
      <w:szCs w:val="24"/>
    </w:rPr>
  </w:style>
  <w:style w:type="paragraph" w:styleId="Header">
    <w:name w:val="header"/>
    <w:basedOn w:val="Normal"/>
    <w:link w:val="HeaderChar"/>
    <w:rsid w:val="0040335E"/>
    <w:pPr>
      <w:tabs>
        <w:tab w:val="center" w:pos="4680"/>
        <w:tab w:val="right" w:pos="9360"/>
      </w:tabs>
    </w:pPr>
  </w:style>
  <w:style w:type="character" w:customStyle="1" w:styleId="HeaderChar">
    <w:name w:val="Header Char"/>
    <w:basedOn w:val="DefaultParagraphFont"/>
    <w:link w:val="Header"/>
    <w:rsid w:val="0040335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uiPriority w:val="99"/>
    <w:rsid w:val="00302713"/>
    <w:rPr>
      <w:sz w:val="16"/>
      <w:szCs w:val="16"/>
    </w:rPr>
  </w:style>
  <w:style w:type="paragraph" w:styleId="CommentText">
    <w:name w:val="annotation text"/>
    <w:basedOn w:val="Normal"/>
    <w:link w:val="CommentTextChar"/>
    <w:uiPriority w:val="99"/>
    <w:rsid w:val="00302713"/>
    <w:rPr>
      <w:sz w:val="20"/>
      <w:szCs w:val="20"/>
    </w:rPr>
  </w:style>
  <w:style w:type="character" w:customStyle="1" w:styleId="CommentTextChar">
    <w:name w:val="Comment Text Char"/>
    <w:basedOn w:val="DefaultParagraphFont"/>
    <w:link w:val="CommentText"/>
    <w:uiPriority w:val="99"/>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 w:type="paragraph" w:customStyle="1" w:styleId="paragraph">
    <w:name w:val="paragraph"/>
    <w:link w:val="paragraphChar"/>
    <w:qFormat/>
    <w:rsid w:val="002674EA"/>
    <w:pPr>
      <w:ind w:firstLine="720"/>
    </w:pPr>
    <w:rPr>
      <w:rFonts w:ascii="HawnTime" w:eastAsia="Calibri" w:hAnsi="HawnTime"/>
      <w:sz w:val="24"/>
      <w:szCs w:val="24"/>
    </w:rPr>
  </w:style>
  <w:style w:type="character" w:customStyle="1" w:styleId="paragraphChar">
    <w:name w:val="paragraph Char"/>
    <w:link w:val="paragraph"/>
    <w:rsid w:val="002674EA"/>
    <w:rPr>
      <w:rFonts w:ascii="HawnTime" w:eastAsia="Calibri" w:hAnsi="HawnTime"/>
      <w:sz w:val="24"/>
      <w:szCs w:val="24"/>
    </w:rPr>
  </w:style>
  <w:style w:type="table" w:styleId="MediumGrid1-Accent2">
    <w:name w:val="Medium Grid 1 Accent 2"/>
    <w:basedOn w:val="TableNormal"/>
    <w:uiPriority w:val="67"/>
    <w:rsid w:val="002674E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BodyTextIndent2">
    <w:name w:val="Body Text Indent 2"/>
    <w:basedOn w:val="Normal"/>
    <w:link w:val="BodyTextIndent2Char"/>
    <w:rsid w:val="00AB44F0"/>
    <w:pPr>
      <w:spacing w:after="120" w:line="480" w:lineRule="auto"/>
      <w:ind w:left="360"/>
    </w:pPr>
  </w:style>
  <w:style w:type="character" w:customStyle="1" w:styleId="BodyTextIndent2Char">
    <w:name w:val="Body Text Indent 2 Char"/>
    <w:basedOn w:val="DefaultParagraphFont"/>
    <w:link w:val="BodyTextIndent2"/>
    <w:rsid w:val="00AB44F0"/>
    <w:rPr>
      <w:sz w:val="24"/>
      <w:szCs w:val="24"/>
    </w:rPr>
  </w:style>
  <w:style w:type="paragraph" w:styleId="BodyTextIndent">
    <w:name w:val="Body Text Indent"/>
    <w:basedOn w:val="Normal"/>
    <w:link w:val="BodyTextIndentChar"/>
    <w:rsid w:val="00A8029D"/>
    <w:pPr>
      <w:spacing w:after="120"/>
      <w:ind w:left="360"/>
    </w:pPr>
  </w:style>
  <w:style w:type="character" w:customStyle="1" w:styleId="BodyTextIndentChar">
    <w:name w:val="Body Text Indent Char"/>
    <w:basedOn w:val="DefaultParagraphFont"/>
    <w:link w:val="BodyTextIndent"/>
    <w:rsid w:val="00A8029D"/>
    <w:rPr>
      <w:sz w:val="24"/>
      <w:szCs w:val="24"/>
    </w:rPr>
  </w:style>
  <w:style w:type="paragraph" w:styleId="Header">
    <w:name w:val="header"/>
    <w:basedOn w:val="Normal"/>
    <w:link w:val="HeaderChar"/>
    <w:rsid w:val="0040335E"/>
    <w:pPr>
      <w:tabs>
        <w:tab w:val="center" w:pos="4680"/>
        <w:tab w:val="right" w:pos="9360"/>
      </w:tabs>
    </w:pPr>
  </w:style>
  <w:style w:type="character" w:customStyle="1" w:styleId="HeaderChar">
    <w:name w:val="Header Char"/>
    <w:basedOn w:val="DefaultParagraphFont"/>
    <w:link w:val="Header"/>
    <w:rsid w:val="004033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soki@usg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johnson@usg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lja@usgs.gov" TargetMode="External"/><Relationship Id="rId4" Type="http://schemas.microsoft.com/office/2007/relationships/stylesWithEffects" Target="stylesWithEffects.xml"/><Relationship Id="rId9" Type="http://schemas.openxmlformats.org/officeDocument/2006/relationships/hyperlink" Target="mailto:skizuka@usgs.gov"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1AB46-E7C3-44AD-91CA-DCBC533F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11</Pages>
  <Words>2666</Words>
  <Characters>16600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Ground Water Resources Program</vt:lpstr>
    </vt:vector>
  </TitlesOfParts>
  <Company>U.S. Geological Survey</Company>
  <LinksUpToDate>false</LinksUpToDate>
  <CharactersWithSpaces>19228</CharactersWithSpaces>
  <SharedDoc>false</SharedDoc>
  <HLinks>
    <vt:vector size="18" baseType="variant">
      <vt:variant>
        <vt:i4>8061030</vt:i4>
      </vt:variant>
      <vt:variant>
        <vt:i4>6</vt:i4>
      </vt:variant>
      <vt:variant>
        <vt:i4>0</vt:i4>
      </vt:variant>
      <vt:variant>
        <vt:i4>5</vt:i4>
      </vt:variant>
      <vt:variant>
        <vt:lpwstr>http://water.usgs.gov/ogw/gwrp/pubs/bib.php</vt:lpwstr>
      </vt:variant>
      <vt:variant>
        <vt:lpwstr/>
      </vt:variant>
      <vt:variant>
        <vt:i4>262200</vt:i4>
      </vt:variant>
      <vt:variant>
        <vt:i4>3</vt:i4>
      </vt:variant>
      <vt:variant>
        <vt:i4>0</vt:i4>
      </vt:variant>
      <vt:variant>
        <vt:i4>5</vt:i4>
      </vt:variant>
      <vt:variant>
        <vt:lpwstr>http://water.usgs.gov/ogw/gwrp/usgs/reporting_guidance.html</vt:lpwstr>
      </vt:variant>
      <vt:variant>
        <vt:lpwstr/>
      </vt:variant>
      <vt:variant>
        <vt:i4>3866639</vt:i4>
      </vt:variant>
      <vt:variant>
        <vt:i4>0</vt:i4>
      </vt:variant>
      <vt:variant>
        <vt:i4>0</vt:i4>
      </vt:variant>
      <vt:variant>
        <vt:i4>5</vt:i4>
      </vt:variant>
      <vt:variant>
        <vt:lpwstr>mailto:kdennehy@usgs.gov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Water Resources Program</dc:title>
  <dc:creator>U.S. Geological Survey</dc:creator>
  <cp:lastModifiedBy>Izuka, Scot K.</cp:lastModifiedBy>
  <cp:revision>16</cp:revision>
  <cp:lastPrinted>2010-08-13T18:27:00Z</cp:lastPrinted>
  <dcterms:created xsi:type="dcterms:W3CDTF">2017-08-15T18:59:00Z</dcterms:created>
  <dcterms:modified xsi:type="dcterms:W3CDTF">2017-08-15T21:37:00Z</dcterms:modified>
</cp:coreProperties>
</file>