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B0648E0" w14:textId="77777777" w:rsidR="00305CF2" w:rsidRPr="00152AFD" w:rsidRDefault="00D24D18" w:rsidP="00152AFD">
      <w:pPr>
        <w:jc w:val="center"/>
        <w:rPr>
          <w:rFonts w:ascii="Arial" w:hAnsi="Arial" w:cs="Arial"/>
          <w:b/>
          <w:sz w:val="28"/>
          <w:szCs w:val="28"/>
        </w:rPr>
      </w:pPr>
      <w:bookmarkStart w:id="0" w:name="_GoBack"/>
      <w:bookmarkEnd w:id="0"/>
      <w:r w:rsidRPr="00152AFD">
        <w:rPr>
          <w:rFonts w:ascii="Arial" w:hAnsi="Arial" w:cs="Arial"/>
          <w:b/>
          <w:sz w:val="28"/>
          <w:szCs w:val="28"/>
        </w:rPr>
        <w:t>Coastal Carolinas Focus Area Study</w:t>
      </w:r>
    </w:p>
    <w:p w14:paraId="7B269EC0" w14:textId="77777777" w:rsidR="00593B05" w:rsidRPr="00EF4838" w:rsidRDefault="0067074A" w:rsidP="00593B05">
      <w:pPr>
        <w:jc w:val="center"/>
        <w:rPr>
          <w:rFonts w:ascii="Arial" w:hAnsi="Arial" w:cs="Arial"/>
          <w:b/>
          <w:sz w:val="28"/>
          <w:szCs w:val="28"/>
        </w:rPr>
      </w:pPr>
      <w:r>
        <w:rPr>
          <w:rFonts w:ascii="Arial" w:hAnsi="Arial" w:cs="Arial"/>
          <w:b/>
          <w:sz w:val="28"/>
          <w:szCs w:val="28"/>
        </w:rPr>
        <w:t>FY 201</w:t>
      </w:r>
      <w:r w:rsidR="0005592D">
        <w:rPr>
          <w:rFonts w:ascii="Arial" w:hAnsi="Arial" w:cs="Arial"/>
          <w:b/>
          <w:sz w:val="28"/>
          <w:szCs w:val="28"/>
        </w:rPr>
        <w:t>7</w:t>
      </w:r>
      <w:r w:rsidR="00655B21" w:rsidRPr="00EF4838">
        <w:rPr>
          <w:rFonts w:ascii="Arial" w:hAnsi="Arial" w:cs="Arial"/>
          <w:b/>
          <w:sz w:val="28"/>
          <w:szCs w:val="28"/>
        </w:rPr>
        <w:t xml:space="preserve"> </w:t>
      </w:r>
      <w:r w:rsidR="00593B05" w:rsidRPr="00EF4838">
        <w:rPr>
          <w:rFonts w:ascii="Arial" w:hAnsi="Arial" w:cs="Arial"/>
          <w:b/>
          <w:sz w:val="28"/>
          <w:szCs w:val="28"/>
        </w:rPr>
        <w:t>End</w:t>
      </w:r>
      <w:r w:rsidR="0074672C">
        <w:rPr>
          <w:rFonts w:ascii="Arial" w:hAnsi="Arial" w:cs="Arial"/>
          <w:b/>
          <w:sz w:val="28"/>
          <w:szCs w:val="28"/>
        </w:rPr>
        <w:t>-of-</w:t>
      </w:r>
      <w:r w:rsidR="00655B21" w:rsidRPr="00EF4838">
        <w:rPr>
          <w:rFonts w:ascii="Arial" w:hAnsi="Arial" w:cs="Arial"/>
          <w:b/>
          <w:sz w:val="28"/>
          <w:szCs w:val="28"/>
        </w:rPr>
        <w:t>Year</w:t>
      </w:r>
      <w:r w:rsidR="00593B05" w:rsidRPr="00EF4838">
        <w:rPr>
          <w:rFonts w:ascii="Arial" w:hAnsi="Arial" w:cs="Arial"/>
          <w:b/>
          <w:sz w:val="28"/>
          <w:szCs w:val="28"/>
        </w:rPr>
        <w:t xml:space="preserve"> Report Request</w:t>
      </w:r>
    </w:p>
    <w:p w14:paraId="13A522BD" w14:textId="77777777" w:rsidR="00593B05" w:rsidRPr="00F4780A" w:rsidRDefault="0005592D" w:rsidP="00593B05">
      <w:pPr>
        <w:jc w:val="center"/>
        <w:rPr>
          <w:rFonts w:ascii="Arial" w:hAnsi="Arial" w:cs="Arial"/>
          <w:b/>
          <w:sz w:val="28"/>
          <w:szCs w:val="28"/>
        </w:rPr>
      </w:pPr>
      <w:r>
        <w:rPr>
          <w:rFonts w:ascii="Arial" w:hAnsi="Arial" w:cs="Arial"/>
          <w:b/>
          <w:sz w:val="28"/>
          <w:szCs w:val="28"/>
        </w:rPr>
        <w:t>August</w:t>
      </w:r>
      <w:r w:rsidR="00D24D18">
        <w:rPr>
          <w:rFonts w:ascii="Arial" w:hAnsi="Arial" w:cs="Arial"/>
          <w:b/>
          <w:sz w:val="28"/>
          <w:szCs w:val="28"/>
        </w:rPr>
        <w:t xml:space="preserve">, </w:t>
      </w:r>
      <w:r>
        <w:rPr>
          <w:rFonts w:ascii="Arial" w:hAnsi="Arial" w:cs="Arial"/>
          <w:b/>
          <w:sz w:val="28"/>
          <w:szCs w:val="28"/>
        </w:rPr>
        <w:t>2017</w:t>
      </w:r>
    </w:p>
    <w:p w14:paraId="41327138" w14:textId="77777777" w:rsidR="00593B05" w:rsidRDefault="00593B05" w:rsidP="00593B05">
      <w:pPr>
        <w:jc w:val="center"/>
        <w:rPr>
          <w:rFonts w:ascii="Arial" w:hAnsi="Arial" w:cs="Arial"/>
          <w:b/>
        </w:rPr>
      </w:pPr>
    </w:p>
    <w:p w14:paraId="472E52E6" w14:textId="77777777" w:rsidR="00630893" w:rsidRDefault="00D54F3C" w:rsidP="00630893">
      <w:pPr>
        <w:pStyle w:val="NormalWeb"/>
        <w:spacing w:after="0" w:afterAutospacing="0"/>
        <w:rPr>
          <w:rStyle w:val="Strong"/>
        </w:rPr>
      </w:pPr>
      <w:r>
        <w:rPr>
          <w:rStyle w:val="Strong"/>
        </w:rPr>
        <w:t>(1) PROJECT ACCOMPLISHMENTS</w:t>
      </w:r>
      <w:r w:rsidR="001E1A1C">
        <w:rPr>
          <w:rStyle w:val="Strong"/>
        </w:rPr>
        <w:t>/CONTRIBUTIONS</w:t>
      </w:r>
      <w:r w:rsidR="0067074A">
        <w:rPr>
          <w:rStyle w:val="Strong"/>
        </w:rPr>
        <w:t xml:space="preserve"> (FY 201</w:t>
      </w:r>
      <w:r w:rsidR="00E878DF">
        <w:rPr>
          <w:rStyle w:val="Strong"/>
        </w:rPr>
        <w:t>7</w:t>
      </w:r>
      <w:r w:rsidR="00762724">
        <w:rPr>
          <w:rStyle w:val="Strong"/>
        </w:rPr>
        <w:t>)</w:t>
      </w:r>
    </w:p>
    <w:p w14:paraId="4814E284" w14:textId="68B43676" w:rsidR="00624C07" w:rsidRDefault="00624C07" w:rsidP="00863C11">
      <w:pPr>
        <w:pStyle w:val="NormalWeb"/>
        <w:spacing w:before="0" w:beforeAutospacing="0" w:after="0" w:afterAutospacing="0"/>
        <w:ind w:left="720"/>
      </w:pPr>
    </w:p>
    <w:p w14:paraId="609560DD" w14:textId="5DB1D6C6" w:rsidR="00863C11" w:rsidRPr="00863C11" w:rsidRDefault="00863C11" w:rsidP="00863C11">
      <w:pPr>
        <w:pStyle w:val="NormalWeb"/>
        <w:spacing w:before="0" w:beforeAutospacing="0" w:after="0" w:afterAutospacing="0"/>
        <w:rPr>
          <w:u w:val="single"/>
        </w:rPr>
      </w:pPr>
      <w:r w:rsidRPr="00863C11">
        <w:rPr>
          <w:u w:val="single"/>
        </w:rPr>
        <w:t>Landscape and Hydrologic Change</w:t>
      </w:r>
    </w:p>
    <w:p w14:paraId="6442B067" w14:textId="640DFCC3" w:rsidR="00D32482" w:rsidRDefault="00A82F9B" w:rsidP="00220E3E">
      <w:pPr>
        <w:pStyle w:val="NormalWeb"/>
        <w:numPr>
          <w:ilvl w:val="0"/>
          <w:numId w:val="4"/>
        </w:numPr>
        <w:spacing w:before="0" w:beforeAutospacing="0" w:after="0" w:afterAutospacing="0"/>
      </w:pPr>
      <w:r>
        <w:t xml:space="preserve">Based on stakeholder input, </w:t>
      </w:r>
      <w:r w:rsidR="009B0CF1">
        <w:t xml:space="preserve">models and </w:t>
      </w:r>
      <w:r>
        <w:t>m</w:t>
      </w:r>
      <w:r w:rsidR="00220E3E">
        <w:t xml:space="preserve">aps of </w:t>
      </w:r>
      <w:r w:rsidR="0005592D">
        <w:t xml:space="preserve">two scenarios of predicted future </w:t>
      </w:r>
      <w:r w:rsidR="00220E3E" w:rsidRPr="00220E3E">
        <w:t xml:space="preserve">land-use in the study area </w:t>
      </w:r>
      <w:r w:rsidR="0005592D">
        <w:t xml:space="preserve">have been developed for </w:t>
      </w:r>
      <w:r w:rsidR="00220E3E" w:rsidRPr="00220E3E">
        <w:t>annual time steps fr</w:t>
      </w:r>
      <w:r w:rsidR="0005592D">
        <w:t xml:space="preserve">om 2020-2065. The two </w:t>
      </w:r>
      <w:r w:rsidR="009B0CF1">
        <w:t xml:space="preserve">modeled </w:t>
      </w:r>
      <w:r w:rsidR="0005592D">
        <w:t>scenarios represent</w:t>
      </w:r>
      <w:r w:rsidR="00142A99">
        <w:t>:</w:t>
      </w:r>
      <w:r w:rsidR="0005592D">
        <w:t xml:space="preserve"> 1) “status-quo” development that continues the same general patterns (urban form, conservation practices, units/acre, etc) given projected population growth</w:t>
      </w:r>
      <w:r w:rsidR="00220E3E" w:rsidRPr="00220E3E">
        <w:t xml:space="preserve">, </w:t>
      </w:r>
      <w:r w:rsidR="0005592D">
        <w:t xml:space="preserve">and 2) Water-Smart growth scenario, </w:t>
      </w:r>
      <w:r w:rsidR="00220E3E" w:rsidRPr="00220E3E">
        <w:t xml:space="preserve">which </w:t>
      </w:r>
      <w:r w:rsidR="0005592D">
        <w:t xml:space="preserve">allows for population growth (more densification and less sprawl) while conserving groundwater recharge areas and stream buffers, reduce probability of </w:t>
      </w:r>
      <w:r w:rsidR="008A5AA3">
        <w:t xml:space="preserve">wetland development, </w:t>
      </w:r>
      <w:r w:rsidR="0005592D">
        <w:t>keep</w:t>
      </w:r>
      <w:r w:rsidR="008A5AA3">
        <w:t xml:space="preserve"> </w:t>
      </w:r>
      <w:r w:rsidR="0005592D">
        <w:t>conservation land protected</w:t>
      </w:r>
      <w:r w:rsidR="008A5AA3">
        <w:t xml:space="preserve"> and reduce water-use/capita</w:t>
      </w:r>
      <w:r w:rsidR="0005592D">
        <w:t xml:space="preserve">. These land-use scenarios </w:t>
      </w:r>
      <w:r w:rsidR="003F1BAF">
        <w:t xml:space="preserve">will be used in </w:t>
      </w:r>
      <w:r w:rsidR="009B0CF1">
        <w:t xml:space="preserve">study </w:t>
      </w:r>
      <w:r w:rsidR="003F1BAF">
        <w:t xml:space="preserve">groundwater, </w:t>
      </w:r>
      <w:r w:rsidR="001B4145">
        <w:t>surface-water</w:t>
      </w:r>
      <w:r w:rsidR="003F1BAF">
        <w:t xml:space="preserve"> and ecological-response</w:t>
      </w:r>
      <w:r w:rsidR="00220E3E" w:rsidRPr="00220E3E">
        <w:t xml:space="preserve"> </w:t>
      </w:r>
      <w:r w:rsidR="009B0CF1">
        <w:t xml:space="preserve">projection </w:t>
      </w:r>
      <w:r w:rsidR="00220E3E" w:rsidRPr="00220E3E">
        <w:t xml:space="preserve">models for </w:t>
      </w:r>
      <w:r w:rsidR="001B4145">
        <w:t xml:space="preserve">simulation of </w:t>
      </w:r>
      <w:r w:rsidR="00220E3E" w:rsidRPr="00220E3E">
        <w:t xml:space="preserve">future </w:t>
      </w:r>
      <w:r w:rsidR="00142A99">
        <w:t>use and availability scenarios</w:t>
      </w:r>
      <w:r w:rsidR="00220E3E" w:rsidRPr="00220E3E">
        <w:t>.</w:t>
      </w:r>
      <w:r w:rsidR="00220E3E">
        <w:t xml:space="preserve"> </w:t>
      </w:r>
    </w:p>
    <w:p w14:paraId="6D764013" w14:textId="71739485" w:rsidR="00220E3E" w:rsidRDefault="003F1BAF" w:rsidP="00220E3E">
      <w:pPr>
        <w:pStyle w:val="NormalWeb"/>
        <w:numPr>
          <w:ilvl w:val="0"/>
          <w:numId w:val="4"/>
        </w:numPr>
        <w:spacing w:before="0" w:beforeAutospacing="0" w:after="0" w:afterAutospacing="0"/>
      </w:pPr>
      <w:r>
        <w:t>A journal article on th</w:t>
      </w:r>
      <w:r w:rsidR="00A0656A">
        <w:t>e</w:t>
      </w:r>
      <w:r>
        <w:t xml:space="preserve"> </w:t>
      </w:r>
      <w:r w:rsidR="00D32482">
        <w:t>land-use change</w:t>
      </w:r>
      <w:r w:rsidR="00A0656A">
        <w:t>-</w:t>
      </w:r>
      <w:r w:rsidR="00D32482">
        <w:t>modeling</w:t>
      </w:r>
      <w:r w:rsidR="00A0656A">
        <w:t xml:space="preserve"> study component </w:t>
      </w:r>
      <w:r>
        <w:t xml:space="preserve">is nearly </w:t>
      </w:r>
      <w:r w:rsidR="00A0656A">
        <w:t xml:space="preserve">complete and is being prepared for </w:t>
      </w:r>
      <w:r>
        <w:t>colleague review.</w:t>
      </w:r>
    </w:p>
    <w:p w14:paraId="6C84FEE1" w14:textId="73700385" w:rsidR="00884E28" w:rsidRDefault="00A82F9B" w:rsidP="00220E3E">
      <w:pPr>
        <w:pStyle w:val="NormalWeb"/>
        <w:numPr>
          <w:ilvl w:val="0"/>
          <w:numId w:val="4"/>
        </w:numPr>
        <w:spacing w:before="0" w:beforeAutospacing="0" w:after="0" w:afterAutospacing="0"/>
      </w:pPr>
      <w:r>
        <w:t>Based on stakeholder input, f</w:t>
      </w:r>
      <w:r w:rsidR="003F1BAF">
        <w:t>uture water-demand models have been developed for South Carolina and North Carolina using population growth projection and the future land-use scenario</w:t>
      </w:r>
      <w:r w:rsidR="00A0656A">
        <w:t xml:space="preserve"> model</w:t>
      </w:r>
      <w:r w:rsidR="003F1BAF">
        <w:t xml:space="preserve">. A geographically weighted regression approach was used with domestic, public and industrial water use being the </w:t>
      </w:r>
      <w:r w:rsidR="008A5AA3">
        <w:t>dependent</w:t>
      </w:r>
      <w:r w:rsidR="003F1BAF">
        <w:t xml:space="preserve"> variables and social-economic (income, age), environmental (temp, precip) and urban form (number of urban “patches”, landscape shape index and aggregation index) were the independent variables. The model </w:t>
      </w:r>
      <w:r w:rsidR="00336F64">
        <w:t>performed</w:t>
      </w:r>
      <w:r w:rsidR="00A11B35">
        <w:t xml:space="preserve"> very well in our focus study area, with R-squares of 0.6 – 0.8</w:t>
      </w:r>
      <w:r w:rsidR="009C3B26">
        <w:t>, using water-use data from 2000-2010</w:t>
      </w:r>
      <w:r w:rsidR="00A11B35">
        <w:t xml:space="preserve">. </w:t>
      </w:r>
    </w:p>
    <w:p w14:paraId="0A8957A1" w14:textId="77777777" w:rsidR="00863C11" w:rsidRDefault="00884E28" w:rsidP="00863C11">
      <w:pPr>
        <w:pStyle w:val="NormalWeb"/>
        <w:numPr>
          <w:ilvl w:val="0"/>
          <w:numId w:val="4"/>
        </w:numPr>
        <w:spacing w:before="0" w:beforeAutospacing="0" w:after="120" w:afterAutospacing="0"/>
      </w:pPr>
      <w:r>
        <w:t xml:space="preserve">A journal article on the future-water demand modeling has been submitted to the Water Resources Research journal.  </w:t>
      </w:r>
    </w:p>
    <w:p w14:paraId="4532DFD2" w14:textId="0281D094" w:rsidR="003F1BAF" w:rsidRPr="00863C11" w:rsidRDefault="00863C11" w:rsidP="00863C11">
      <w:pPr>
        <w:pStyle w:val="NormalWeb"/>
        <w:spacing w:before="0" w:beforeAutospacing="0" w:after="0" w:afterAutospacing="0"/>
        <w:rPr>
          <w:u w:val="single"/>
        </w:rPr>
      </w:pPr>
      <w:r w:rsidRPr="00863C11">
        <w:rPr>
          <w:u w:val="single"/>
        </w:rPr>
        <w:t>Water Use</w:t>
      </w:r>
      <w:r w:rsidR="00884E28" w:rsidRPr="00863C11">
        <w:rPr>
          <w:u w:val="single"/>
        </w:rPr>
        <w:t xml:space="preserve"> </w:t>
      </w:r>
      <w:r w:rsidR="003F1BAF" w:rsidRPr="00863C11">
        <w:rPr>
          <w:u w:val="single"/>
        </w:rPr>
        <w:t xml:space="preserve"> </w:t>
      </w:r>
    </w:p>
    <w:p w14:paraId="4BC14C49" w14:textId="1D3D3DBC" w:rsidR="00E878DF" w:rsidRDefault="00220E3E" w:rsidP="00220E3E">
      <w:pPr>
        <w:pStyle w:val="NormalWeb"/>
        <w:numPr>
          <w:ilvl w:val="0"/>
          <w:numId w:val="4"/>
        </w:numPr>
        <w:spacing w:before="0" w:beforeAutospacing="0" w:after="0" w:afterAutospacing="0"/>
      </w:pPr>
      <w:r w:rsidRPr="00220E3E">
        <w:t xml:space="preserve">Water-use and NPDES discharge data compilation </w:t>
      </w:r>
      <w:r>
        <w:t xml:space="preserve">and disaggregation to HUC-8s through 2014 </w:t>
      </w:r>
      <w:r w:rsidRPr="00220E3E">
        <w:t xml:space="preserve">has been </w:t>
      </w:r>
      <w:r w:rsidR="00A11B35">
        <w:t>completed including the</w:t>
      </w:r>
      <w:r w:rsidRPr="00220E3E">
        <w:t xml:space="preserve"> disaggregation </w:t>
      </w:r>
      <w:r>
        <w:t>of irrigation and domestic self-</w:t>
      </w:r>
      <w:r w:rsidR="00A11B35">
        <w:t xml:space="preserve">supplied to the </w:t>
      </w:r>
      <w:r w:rsidR="009F10B5">
        <w:t>surface-water</w:t>
      </w:r>
      <w:r w:rsidRPr="00220E3E">
        <w:t xml:space="preserve"> model catchments (much smaller than HUC-8s</w:t>
      </w:r>
      <w:r w:rsidR="00336F64">
        <w:t>,</w:t>
      </w:r>
      <w:r w:rsidR="00A11B35">
        <w:t xml:space="preserve"> ~ 2 mi</w:t>
      </w:r>
      <w:r w:rsidR="00A11B35" w:rsidRPr="00336F64">
        <w:rPr>
          <w:vertAlign w:val="superscript"/>
        </w:rPr>
        <w:t>2</w:t>
      </w:r>
      <w:r w:rsidR="00336F64">
        <w:t xml:space="preserve">). </w:t>
      </w:r>
    </w:p>
    <w:p w14:paraId="519873EB" w14:textId="2C09BF41" w:rsidR="00E878DF" w:rsidRDefault="00E878DF" w:rsidP="00E878DF">
      <w:pPr>
        <w:pStyle w:val="NormalWeb"/>
        <w:numPr>
          <w:ilvl w:val="0"/>
          <w:numId w:val="4"/>
        </w:numPr>
        <w:spacing w:before="0" w:beforeAutospacing="0" w:after="0" w:afterAutospacing="0"/>
      </w:pPr>
      <w:r>
        <w:t xml:space="preserve">All surface-water </w:t>
      </w:r>
      <w:r w:rsidRPr="00E878DF">
        <w:t xml:space="preserve">use </w:t>
      </w:r>
      <w:r>
        <w:t xml:space="preserve">and discharge </w:t>
      </w:r>
      <w:r w:rsidRPr="00E878DF">
        <w:t>informatio</w:t>
      </w:r>
      <w:r>
        <w:t xml:space="preserve">n was compiled into single database that allows </w:t>
      </w:r>
      <w:r w:rsidR="008A5AA3">
        <w:t>the data to be</w:t>
      </w:r>
      <w:r>
        <w:t xml:space="preserve"> </w:t>
      </w:r>
      <w:r w:rsidR="008A5AA3">
        <w:t xml:space="preserve">more easily incorporated to the models and the data releases. </w:t>
      </w:r>
      <w:r w:rsidR="00336F64">
        <w:t>Significant revisions to the discharger data set had to be made</w:t>
      </w:r>
      <w:r w:rsidR="008B71C4">
        <w:t xml:space="preserve"> to correct errors in the state-provided data sets identified during calibration of the </w:t>
      </w:r>
      <w:r w:rsidR="008B71C4" w:rsidRPr="008B71C4">
        <w:t>Cape Fear River and Yadkin/PeeDee/Waccamaw River</w:t>
      </w:r>
      <w:r w:rsidR="008B71C4">
        <w:t xml:space="preserve"> surface water models.</w:t>
      </w:r>
      <w:r>
        <w:t xml:space="preserve"> </w:t>
      </w:r>
      <w:r w:rsidR="009C3B26">
        <w:t xml:space="preserve">The errors were fixed using information gathered from communicating with the individual </w:t>
      </w:r>
      <w:r w:rsidR="009C3B26">
        <w:lastRenderedPageBreak/>
        <w:t>water-systems, inspecting for obvious duplications and comparing with a Regional discharger dataset compiled by the NAWQA program for a Southeast SPARROW model.</w:t>
      </w:r>
    </w:p>
    <w:p w14:paraId="60A3F1AF" w14:textId="77777777" w:rsidR="00E878DF" w:rsidRDefault="00220E3E" w:rsidP="00220E3E">
      <w:pPr>
        <w:pStyle w:val="NormalWeb"/>
        <w:numPr>
          <w:ilvl w:val="0"/>
          <w:numId w:val="4"/>
        </w:numPr>
        <w:spacing w:before="0" w:beforeAutospacing="0" w:after="0" w:afterAutospacing="0"/>
      </w:pPr>
      <w:r>
        <w:t>All</w:t>
      </w:r>
      <w:r w:rsidRPr="00220E3E">
        <w:t xml:space="preserve"> 2015 water-use data </w:t>
      </w:r>
      <w:r>
        <w:t xml:space="preserve">have been </w:t>
      </w:r>
      <w:r w:rsidR="00336F64">
        <w:t>compiled and submitted to the National Water Census for review/approval</w:t>
      </w:r>
      <w:r w:rsidRPr="00220E3E">
        <w:t>.</w:t>
      </w:r>
    </w:p>
    <w:p w14:paraId="0C7BB552" w14:textId="6AA6B386" w:rsidR="00220E3E" w:rsidRDefault="00E878DF" w:rsidP="00863C11">
      <w:pPr>
        <w:pStyle w:val="NormalWeb"/>
        <w:numPr>
          <w:ilvl w:val="0"/>
          <w:numId w:val="4"/>
        </w:numPr>
        <w:spacing w:before="0" w:beforeAutospacing="0" w:after="120" w:afterAutospacing="0"/>
      </w:pPr>
      <w:r>
        <w:t>A</w:t>
      </w:r>
      <w:r w:rsidR="008B71C4">
        <w:t xml:space="preserve"> WAUSP</w:t>
      </w:r>
      <w:r>
        <w:t>FAS Water-Use Working G</w:t>
      </w:r>
      <w:r w:rsidRPr="00E878DF">
        <w:t xml:space="preserve">roup was </w:t>
      </w:r>
      <w:r w:rsidR="008B71C4">
        <w:t xml:space="preserve">convened to facilitate efficient and appropriate data compilation, management, and publication across studies. An initial </w:t>
      </w:r>
      <w:r w:rsidRPr="00E878DF">
        <w:t xml:space="preserve">coordination call </w:t>
      </w:r>
      <w:r w:rsidR="008B71C4">
        <w:t xml:space="preserve">was held </w:t>
      </w:r>
      <w:r w:rsidRPr="00E878DF">
        <w:t xml:space="preserve">on June 27. Rio Grande FAS </w:t>
      </w:r>
      <w:r>
        <w:t>is planning to</w:t>
      </w:r>
      <w:r w:rsidRPr="00E878DF">
        <w:t xml:space="preserve"> work on the first set of data releases using templates from the D</w:t>
      </w:r>
      <w:r w:rsidR="008B71C4">
        <w:t xml:space="preserve">eleware River Basin </w:t>
      </w:r>
      <w:r w:rsidRPr="00E878DF">
        <w:t>FAS and the Red River and C</w:t>
      </w:r>
      <w:r>
        <w:t xml:space="preserve">oastal </w:t>
      </w:r>
      <w:r w:rsidRPr="00E878DF">
        <w:t>C</w:t>
      </w:r>
      <w:r>
        <w:t>arolinas</w:t>
      </w:r>
      <w:r w:rsidRPr="00E878DF">
        <w:t xml:space="preserve"> FAS’s will follow that lead</w:t>
      </w:r>
      <w:r>
        <w:t>.</w:t>
      </w:r>
    </w:p>
    <w:p w14:paraId="492B7C2E" w14:textId="2447D651" w:rsidR="00863C11" w:rsidRPr="00863C11" w:rsidRDefault="00863C11" w:rsidP="00863C11">
      <w:pPr>
        <w:pStyle w:val="NormalWeb"/>
        <w:spacing w:before="0" w:beforeAutospacing="0" w:after="0" w:afterAutospacing="0"/>
        <w:rPr>
          <w:u w:val="single"/>
        </w:rPr>
      </w:pPr>
      <w:r w:rsidRPr="00863C11">
        <w:rPr>
          <w:u w:val="single"/>
        </w:rPr>
        <w:t>Surface Water</w:t>
      </w:r>
    </w:p>
    <w:p w14:paraId="00E7D01A" w14:textId="3A5728BB" w:rsidR="00220E3E" w:rsidRDefault="008B71C4" w:rsidP="00863C11">
      <w:pPr>
        <w:pStyle w:val="NormalWeb"/>
        <w:numPr>
          <w:ilvl w:val="0"/>
          <w:numId w:val="4"/>
        </w:numPr>
        <w:spacing w:before="0" w:beforeAutospacing="0" w:after="120" w:afterAutospacing="0"/>
      </w:pPr>
      <w:r>
        <w:t xml:space="preserve">Surface-water models </w:t>
      </w:r>
      <w:r w:rsidR="00220E3E">
        <w:t>of the Cape Fear and Yadkin/PeeDee basins</w:t>
      </w:r>
      <w:r w:rsidR="00364B7F">
        <w:t xml:space="preserve"> using the </w:t>
      </w:r>
      <w:r w:rsidR="00364B7F" w:rsidRPr="00364B7F">
        <w:t>Soil and Water Assessment Tool (SWAT)</w:t>
      </w:r>
      <w:r w:rsidR="00364B7F">
        <w:t xml:space="preserve"> model</w:t>
      </w:r>
      <w:r w:rsidR="00336F64">
        <w:t>, including dynamic water-use data,</w:t>
      </w:r>
      <w:r w:rsidR="00220E3E">
        <w:t xml:space="preserve"> have been </w:t>
      </w:r>
      <w:r w:rsidR="00336F64">
        <w:t xml:space="preserve">finalized and calibration is ongoing. </w:t>
      </w:r>
      <w:r w:rsidR="00220E3E">
        <w:t xml:space="preserve"> </w:t>
      </w:r>
      <w:r w:rsidR="00336F64">
        <w:t>Calibration to gaging stations in relati</w:t>
      </w:r>
      <w:r w:rsidR="000C03E9">
        <w:t>vely undeveloped areas is good. H</w:t>
      </w:r>
      <w:r w:rsidR="00336F64">
        <w:t xml:space="preserve">owever, calibration in areas with more urbanization and water-use show too much water in the system. Inaccuracies in the water-use and discharger data are likely the culprit, but further analysis is ongoing. </w:t>
      </w:r>
    </w:p>
    <w:p w14:paraId="72F5B797" w14:textId="579117B6" w:rsidR="00863C11" w:rsidRPr="00863C11" w:rsidRDefault="00863C11" w:rsidP="00863C11">
      <w:pPr>
        <w:pStyle w:val="NormalWeb"/>
        <w:spacing w:before="0" w:beforeAutospacing="0" w:after="0" w:afterAutospacing="0"/>
        <w:rPr>
          <w:u w:val="single"/>
        </w:rPr>
      </w:pPr>
      <w:r w:rsidRPr="00863C11">
        <w:rPr>
          <w:u w:val="single"/>
        </w:rPr>
        <w:t>Ecological Response</w:t>
      </w:r>
    </w:p>
    <w:p w14:paraId="744784B2" w14:textId="77777777" w:rsidR="00863C11" w:rsidRDefault="00884E28" w:rsidP="00863C11">
      <w:pPr>
        <w:pStyle w:val="NormalWeb"/>
        <w:numPr>
          <w:ilvl w:val="0"/>
          <w:numId w:val="4"/>
        </w:numPr>
        <w:spacing w:before="0" w:beforeAutospacing="0" w:after="120" w:afterAutospacing="0"/>
      </w:pPr>
      <w:r w:rsidRPr="00884E28">
        <w:t xml:space="preserve">Ecological response modelers are working on generating alternative response models that utilize </w:t>
      </w:r>
      <w:r>
        <w:t xml:space="preserve">land-use, </w:t>
      </w:r>
      <w:r w:rsidRPr="00884E28">
        <w:t>temperature and precipitation as a surrogate for the flow data</w:t>
      </w:r>
      <w:r w:rsidR="00624C07">
        <w:t xml:space="preserve"> from the </w:t>
      </w:r>
      <w:r w:rsidR="009F10B5">
        <w:t>surface-water</w:t>
      </w:r>
      <w:r w:rsidR="00624C07">
        <w:t xml:space="preserve"> models</w:t>
      </w:r>
      <w:r w:rsidRPr="00884E28">
        <w:t xml:space="preserve">. These </w:t>
      </w:r>
      <w:r w:rsidR="00624C07">
        <w:t xml:space="preserve">alternative ecological response </w:t>
      </w:r>
      <w:r w:rsidRPr="00884E28">
        <w:t xml:space="preserve">models </w:t>
      </w:r>
      <w:r>
        <w:t xml:space="preserve">can be </w:t>
      </w:r>
      <w:r w:rsidRPr="00884E28">
        <w:t xml:space="preserve">applicable </w:t>
      </w:r>
      <w:r>
        <w:t xml:space="preserve">in </w:t>
      </w:r>
      <w:r w:rsidRPr="00884E28">
        <w:t xml:space="preserve">areas that don’t benefit from having a </w:t>
      </w:r>
      <w:r w:rsidR="009F10B5">
        <w:t>surface-water</w:t>
      </w:r>
      <w:r w:rsidRPr="00884E28">
        <w:t xml:space="preserve"> model</w:t>
      </w:r>
      <w:r>
        <w:t>.</w:t>
      </w:r>
    </w:p>
    <w:p w14:paraId="58272998" w14:textId="7451C4D1" w:rsidR="00884E28" w:rsidRPr="00863C11" w:rsidRDefault="00863C11" w:rsidP="00863C11">
      <w:pPr>
        <w:pStyle w:val="NormalWeb"/>
        <w:spacing w:before="0" w:beforeAutospacing="0" w:after="0" w:afterAutospacing="0"/>
        <w:rPr>
          <w:u w:val="single"/>
        </w:rPr>
      </w:pPr>
      <w:r w:rsidRPr="00863C11">
        <w:rPr>
          <w:u w:val="single"/>
        </w:rPr>
        <w:t>Groundwater</w:t>
      </w:r>
    </w:p>
    <w:p w14:paraId="7173963E" w14:textId="77777777" w:rsidR="00624C07" w:rsidRDefault="00364B7F" w:rsidP="00A535E8">
      <w:pPr>
        <w:pStyle w:val="NormalWeb"/>
        <w:numPr>
          <w:ilvl w:val="0"/>
          <w:numId w:val="4"/>
        </w:numPr>
        <w:spacing w:before="0" w:beforeAutospacing="0" w:after="0" w:afterAutospacing="0"/>
      </w:pPr>
      <w:r>
        <w:t xml:space="preserve">A </w:t>
      </w:r>
      <w:r w:rsidR="00624C07">
        <w:t xml:space="preserve">Soil-Water Balance (SWB) model of the study area for 1979 – 2016 was developed and recharge values from the SWB model were incorporated into the groundwater model. </w:t>
      </w:r>
    </w:p>
    <w:p w14:paraId="7A57AEA6" w14:textId="2DAA1C7A" w:rsidR="00A535E8" w:rsidRDefault="00624C07" w:rsidP="00863C11">
      <w:pPr>
        <w:pStyle w:val="NormalWeb"/>
        <w:numPr>
          <w:ilvl w:val="0"/>
          <w:numId w:val="4"/>
        </w:numPr>
        <w:spacing w:before="0" w:beforeAutospacing="0" w:after="120" w:afterAutospacing="0"/>
      </w:pPr>
      <w:r>
        <w:t>An unsteady groundwater model</w:t>
      </w:r>
      <w:r w:rsidR="003B1D18">
        <w:t xml:space="preserve"> (predevelopment to 2015)</w:t>
      </w:r>
      <w:r>
        <w:t>, which includes all the water-use data (more than 8,000 wells), has been completed and calibration process using PEST is ongoing and nearing completion</w:t>
      </w:r>
      <w:r w:rsidR="004F002F">
        <w:t xml:space="preserve">. </w:t>
      </w:r>
    </w:p>
    <w:p w14:paraId="64CBA768" w14:textId="77777777" w:rsidR="00863C11" w:rsidRDefault="00863C11" w:rsidP="00863C11">
      <w:pPr>
        <w:pStyle w:val="NormalWeb"/>
        <w:spacing w:before="0" w:beforeAutospacing="0" w:after="0" w:afterAutospacing="0"/>
        <w:contextualSpacing/>
        <w:rPr>
          <w:u w:val="single"/>
        </w:rPr>
      </w:pPr>
      <w:r w:rsidRPr="00863C11">
        <w:rPr>
          <w:u w:val="single"/>
        </w:rPr>
        <w:t>Study Results and Outreach</w:t>
      </w:r>
    </w:p>
    <w:p w14:paraId="668F9339" w14:textId="73E2307F" w:rsidR="00863C11" w:rsidRPr="00863C11" w:rsidRDefault="00863C11" w:rsidP="00863C11">
      <w:pPr>
        <w:pStyle w:val="NormalWeb"/>
        <w:numPr>
          <w:ilvl w:val="0"/>
          <w:numId w:val="28"/>
        </w:numPr>
        <w:spacing w:before="0" w:beforeAutospacing="0" w:after="0" w:afterAutospacing="0"/>
        <w:contextualSpacing/>
      </w:pPr>
      <w:r w:rsidRPr="00863C11">
        <w:t xml:space="preserve">A project webpage was developed and was made available to the public. The Coastal Carolinas Focus Area Study webpage highlights study components, tasks, and planned products and gives access to the study’s current detailed workplan and staff contact information. The page will serve as a repository for completed project products and a portal to access project data sets. </w:t>
      </w:r>
    </w:p>
    <w:p w14:paraId="0CAE52AF" w14:textId="6486790A" w:rsidR="00863C11" w:rsidRDefault="00FE44E7" w:rsidP="00863C11">
      <w:pPr>
        <w:pStyle w:val="NormalWeb"/>
        <w:numPr>
          <w:ilvl w:val="0"/>
          <w:numId w:val="27"/>
        </w:numPr>
        <w:spacing w:before="0" w:beforeAutospacing="0" w:after="0" w:afterAutospacing="0"/>
      </w:pPr>
      <w:r>
        <w:t xml:space="preserve">A meeting </w:t>
      </w:r>
      <w:r w:rsidR="00863C11" w:rsidRPr="00863C11">
        <w:t>to update stakeholders on progress and solicit input on future land-use and water-demand scenarios was held in the epicenter of the study area (Sunset Beach, NC) on May 4, 2017.</w:t>
      </w:r>
    </w:p>
    <w:p w14:paraId="10D40653" w14:textId="77777777" w:rsidR="00507801" w:rsidRDefault="00D54F3C" w:rsidP="00630893">
      <w:pPr>
        <w:pStyle w:val="NormalWeb"/>
        <w:spacing w:after="0" w:afterAutospacing="0"/>
        <w:rPr>
          <w:rStyle w:val="Strong"/>
        </w:rPr>
      </w:pPr>
      <w:r>
        <w:rPr>
          <w:rStyle w:val="Strong"/>
        </w:rPr>
        <w:lastRenderedPageBreak/>
        <w:t xml:space="preserve">(2) PROJECT WORKPLAN </w:t>
      </w:r>
      <w:r w:rsidR="00507801">
        <w:rPr>
          <w:rStyle w:val="Strong"/>
        </w:rPr>
        <w:t xml:space="preserve">AND BUDGET </w:t>
      </w:r>
      <w:r>
        <w:rPr>
          <w:rStyle w:val="Strong"/>
        </w:rPr>
        <w:t xml:space="preserve">FOR </w:t>
      </w:r>
      <w:r w:rsidR="009078B8">
        <w:rPr>
          <w:rStyle w:val="Strong"/>
        </w:rPr>
        <w:t>FY</w:t>
      </w:r>
      <w:r w:rsidR="00762724">
        <w:rPr>
          <w:rStyle w:val="Strong"/>
        </w:rPr>
        <w:t xml:space="preserve"> </w:t>
      </w:r>
      <w:r w:rsidR="00E57C12">
        <w:rPr>
          <w:rStyle w:val="Strong"/>
        </w:rPr>
        <w:t>201</w:t>
      </w:r>
      <w:r w:rsidR="005123C7">
        <w:rPr>
          <w:rStyle w:val="Strong"/>
        </w:rPr>
        <w:t>8</w:t>
      </w:r>
    </w:p>
    <w:p w14:paraId="310366E9" w14:textId="77777777" w:rsidR="001F133B" w:rsidRDefault="001F133B" w:rsidP="001F133B">
      <w:pPr>
        <w:pStyle w:val="NormalWeb"/>
        <w:spacing w:before="0" w:beforeAutospacing="0" w:after="0" w:afterAutospacing="0"/>
      </w:pPr>
    </w:p>
    <w:p w14:paraId="6A8FBA6E" w14:textId="77777777" w:rsidR="00D54F3C" w:rsidRPr="001F133B" w:rsidRDefault="001F133B" w:rsidP="00630893">
      <w:pPr>
        <w:pStyle w:val="NormalWeb"/>
        <w:spacing w:before="0" w:beforeAutospacing="0"/>
        <w:rPr>
          <w:b/>
          <w:u w:val="single"/>
        </w:rPr>
      </w:pPr>
      <w:r>
        <w:rPr>
          <w:b/>
          <w:u w:val="single"/>
        </w:rPr>
        <w:t>Overall Study Objective</w:t>
      </w:r>
      <w:r w:rsidRPr="001F133B">
        <w:rPr>
          <w:b/>
          <w:u w:val="single"/>
        </w:rPr>
        <w:t xml:space="preserve"> and Approach</w:t>
      </w:r>
    </w:p>
    <w:p w14:paraId="26EFFA3C" w14:textId="77777777" w:rsidR="006C4B39" w:rsidRPr="006C4B39" w:rsidRDefault="006C4B39" w:rsidP="006C4B39">
      <w:pPr>
        <w:pStyle w:val="NormalWeb"/>
        <w:numPr>
          <w:ilvl w:val="0"/>
          <w:numId w:val="21"/>
        </w:numPr>
        <w:spacing w:before="0" w:beforeAutospacing="0" w:after="0" w:afterAutospacing="0"/>
      </w:pPr>
      <w:r w:rsidRPr="006C4B39">
        <w:t xml:space="preserve">The </w:t>
      </w:r>
      <w:r>
        <w:t xml:space="preserve">focus area of this study includes the lower, coastal regions </w:t>
      </w:r>
      <w:r w:rsidRPr="006C4B39">
        <w:t>of the Pee Dee/Waccamaw and Cape Fear River Basins in SC and NC</w:t>
      </w:r>
      <w:r>
        <w:t xml:space="preserve"> from Wilmington, NC down to Georgetown, SC</w:t>
      </w:r>
      <w:r w:rsidRPr="006C4B39">
        <w:t>.</w:t>
      </w:r>
    </w:p>
    <w:p w14:paraId="5F5F9554" w14:textId="77777777" w:rsidR="006C4B39" w:rsidRDefault="006C4B39" w:rsidP="006C4B39">
      <w:pPr>
        <w:pStyle w:val="NormalWeb"/>
        <w:numPr>
          <w:ilvl w:val="0"/>
          <w:numId w:val="21"/>
        </w:numPr>
        <w:spacing w:before="0" w:beforeAutospacing="0" w:after="0" w:afterAutospacing="0"/>
      </w:pPr>
      <w:r>
        <w:t>The objective of the study is develop tools that will help to</w:t>
      </w:r>
      <w:r w:rsidRPr="006C4B39">
        <w:t xml:space="preserve"> effectively manage </w:t>
      </w:r>
      <w:r>
        <w:t xml:space="preserve">groundwater and surface-water </w:t>
      </w:r>
      <w:r w:rsidRPr="006C4B39">
        <w:t xml:space="preserve">supplies </w:t>
      </w:r>
      <w:r>
        <w:t xml:space="preserve">in this coastal area </w:t>
      </w:r>
      <w:r w:rsidRPr="006C4B39">
        <w:t xml:space="preserve">to meet societal and ecological uses, </w:t>
      </w:r>
      <w:r>
        <w:t xml:space="preserve">by providing </w:t>
      </w:r>
      <w:r w:rsidRPr="006C4B39">
        <w:t xml:space="preserve">water-resource managers estimates of how potential changes in population growth, land-use, and climate will impact aquifer water levels and the frequency, duration, and magnitude of streamflow and salinity intrusion near water-supply intakes. </w:t>
      </w:r>
      <w:r>
        <w:t xml:space="preserve">The following are </w:t>
      </w:r>
      <w:r w:rsidR="007B22AF">
        <w:t xml:space="preserve">the </w:t>
      </w:r>
      <w:r>
        <w:t>major activities associated with the study:</w:t>
      </w:r>
    </w:p>
    <w:p w14:paraId="70F0A6EE" w14:textId="77777777" w:rsidR="006C4B39" w:rsidRDefault="006C4B39" w:rsidP="006C4B39">
      <w:pPr>
        <w:pStyle w:val="NormalWeb"/>
        <w:numPr>
          <w:ilvl w:val="1"/>
          <w:numId w:val="21"/>
        </w:numPr>
        <w:spacing w:before="0" w:beforeAutospacing="0" w:after="0" w:afterAutospacing="0"/>
      </w:pPr>
      <w:r w:rsidRPr="006C4B39">
        <w:t>Compile refined water-use data and disaggregate from County to the HUC-8 level.</w:t>
      </w:r>
      <w:r>
        <w:t xml:space="preserve"> </w:t>
      </w:r>
    </w:p>
    <w:p w14:paraId="5B40FC7C" w14:textId="77777777" w:rsidR="006C4B39" w:rsidRDefault="006C4B39" w:rsidP="006C4B39">
      <w:pPr>
        <w:pStyle w:val="NormalWeb"/>
        <w:numPr>
          <w:ilvl w:val="1"/>
          <w:numId w:val="21"/>
        </w:numPr>
        <w:spacing w:before="0" w:beforeAutospacing="0" w:after="0" w:afterAutospacing="0"/>
      </w:pPr>
      <w:r w:rsidRPr="006C4B39">
        <w:t>Develop a refined groundwater-flow and saltwater-intrusion model of the surficial, carbonate and deeper sand aquifers to simulate results of historic and future stresses on the groundwater system in the coastal areas.</w:t>
      </w:r>
    </w:p>
    <w:p w14:paraId="6722FCFB" w14:textId="77777777" w:rsidR="006C4B39" w:rsidRDefault="006C4B39" w:rsidP="006C4B39">
      <w:pPr>
        <w:pStyle w:val="NormalWeb"/>
        <w:numPr>
          <w:ilvl w:val="1"/>
          <w:numId w:val="21"/>
        </w:numPr>
        <w:spacing w:before="0" w:beforeAutospacing="0" w:after="0" w:afterAutospacing="0"/>
      </w:pPr>
      <w:r w:rsidRPr="006C4B39">
        <w:t>Develop surface-water models to simulate watershed response to various scenarios of climate and land-use changes and water-use in order to evaluate future water availability and potential changes in salinity at water-supply intakes.</w:t>
      </w:r>
    </w:p>
    <w:p w14:paraId="44502484" w14:textId="77777777" w:rsidR="006C4B39" w:rsidRDefault="006C4B39" w:rsidP="006C4B39">
      <w:pPr>
        <w:pStyle w:val="NormalWeb"/>
        <w:numPr>
          <w:ilvl w:val="1"/>
          <w:numId w:val="21"/>
        </w:numPr>
        <w:spacing w:before="0" w:beforeAutospacing="0" w:after="0" w:afterAutospacing="0"/>
      </w:pPr>
      <w:r w:rsidRPr="006C4B39">
        <w:t>Develop empirical ecological response models relating fish and macroinvertebrate metrics to streamflow metrics and land use to forecast community changes associated with the various water-use, land-use, and climate change scenarios.</w:t>
      </w:r>
    </w:p>
    <w:p w14:paraId="5195B50B" w14:textId="77777777" w:rsidR="006C4B39" w:rsidRDefault="006C4B39" w:rsidP="00630893">
      <w:pPr>
        <w:pStyle w:val="NormalWeb"/>
        <w:spacing w:before="0" w:beforeAutospacing="0" w:after="0" w:afterAutospacing="0"/>
      </w:pPr>
    </w:p>
    <w:p w14:paraId="774F3FB5" w14:textId="77777777" w:rsidR="007B22AF" w:rsidRDefault="007B22AF" w:rsidP="00630893">
      <w:pPr>
        <w:pStyle w:val="NormalWeb"/>
        <w:spacing w:before="0" w:beforeAutospacing="0" w:after="0" w:afterAutospacing="0"/>
      </w:pPr>
    </w:p>
    <w:p w14:paraId="364C055B" w14:textId="77777777" w:rsidR="007B22AF" w:rsidRDefault="00624C07" w:rsidP="00630893">
      <w:pPr>
        <w:pStyle w:val="NormalWeb"/>
        <w:spacing w:before="0" w:beforeAutospacing="0" w:after="0" w:afterAutospacing="0"/>
        <w:rPr>
          <w:b/>
          <w:u w:val="single"/>
        </w:rPr>
      </w:pPr>
      <w:r>
        <w:rPr>
          <w:b/>
          <w:u w:val="single"/>
        </w:rPr>
        <w:t>FY18</w:t>
      </w:r>
      <w:r w:rsidR="007B22AF">
        <w:rPr>
          <w:b/>
          <w:u w:val="single"/>
        </w:rPr>
        <w:t xml:space="preserve"> Workplan</w:t>
      </w:r>
    </w:p>
    <w:p w14:paraId="1D763E9D" w14:textId="77777777" w:rsidR="007B22AF" w:rsidRPr="007B22AF" w:rsidRDefault="007B22AF" w:rsidP="00630893">
      <w:pPr>
        <w:pStyle w:val="NormalWeb"/>
        <w:spacing w:before="0" w:beforeAutospacing="0" w:after="0" w:afterAutospacing="0"/>
        <w:rPr>
          <w:b/>
          <w:u w:val="single"/>
        </w:rPr>
      </w:pPr>
    </w:p>
    <w:p w14:paraId="5C4CDC9C" w14:textId="77777777" w:rsidR="007B22AF" w:rsidRDefault="00624C07" w:rsidP="007B22AF">
      <w:pPr>
        <w:pStyle w:val="NormalWeb"/>
        <w:numPr>
          <w:ilvl w:val="0"/>
          <w:numId w:val="23"/>
        </w:numPr>
        <w:spacing w:before="0" w:beforeAutospacing="0" w:after="0" w:afterAutospacing="0"/>
      </w:pPr>
      <w:r>
        <w:t>Publish</w:t>
      </w:r>
      <w:r w:rsidR="007B22AF">
        <w:t xml:space="preserve"> land-use change </w:t>
      </w:r>
      <w:r>
        <w:t xml:space="preserve">and future water-demand modeling journal articles with NC State </w:t>
      </w:r>
      <w:r w:rsidR="00111E31">
        <w:t xml:space="preserve">University </w:t>
      </w:r>
      <w:r>
        <w:t xml:space="preserve">collaborators. </w:t>
      </w:r>
    </w:p>
    <w:p w14:paraId="0BB822C5" w14:textId="77777777" w:rsidR="007B22AF" w:rsidRDefault="007B22AF" w:rsidP="007B22AF">
      <w:pPr>
        <w:pStyle w:val="NormalWeb"/>
        <w:numPr>
          <w:ilvl w:val="0"/>
          <w:numId w:val="23"/>
        </w:numPr>
        <w:spacing w:before="0" w:beforeAutospacing="0" w:after="0" w:afterAutospacing="0"/>
      </w:pPr>
      <w:r>
        <w:t xml:space="preserve">Complete </w:t>
      </w:r>
      <w:r w:rsidR="007042B2">
        <w:t xml:space="preserve">2015 </w:t>
      </w:r>
      <w:r>
        <w:t xml:space="preserve">water-use data </w:t>
      </w:r>
      <w:r w:rsidR="007042B2">
        <w:t xml:space="preserve">disaggregation to HUC-8 and publish Data Releases for all water-use data compiled as part of the project. </w:t>
      </w:r>
    </w:p>
    <w:p w14:paraId="321A87BB" w14:textId="19CD37E8" w:rsidR="007B22AF" w:rsidRDefault="007042B2" w:rsidP="00175854">
      <w:pPr>
        <w:pStyle w:val="NormalWeb"/>
        <w:numPr>
          <w:ilvl w:val="0"/>
          <w:numId w:val="23"/>
        </w:numPr>
        <w:spacing w:before="0" w:beforeAutospacing="0" w:after="0" w:afterAutospacing="0"/>
      </w:pPr>
      <w:r>
        <w:t xml:space="preserve">Complete calibration of </w:t>
      </w:r>
      <w:r w:rsidR="009F10B5">
        <w:t>surface-water</w:t>
      </w:r>
      <w:r>
        <w:t xml:space="preserve"> models (SWAT) </w:t>
      </w:r>
      <w:r w:rsidR="007B22AF">
        <w:t>for both Cap</w:t>
      </w:r>
      <w:r>
        <w:t>e Fear and Yadkin/PeeDee basins.</w:t>
      </w:r>
    </w:p>
    <w:p w14:paraId="3ED5D232" w14:textId="77777777" w:rsidR="007B22AF" w:rsidRDefault="007B22AF" w:rsidP="007B22AF">
      <w:pPr>
        <w:pStyle w:val="NormalWeb"/>
        <w:numPr>
          <w:ilvl w:val="0"/>
          <w:numId w:val="23"/>
        </w:numPr>
        <w:spacing w:before="0" w:beforeAutospacing="0" w:after="0" w:afterAutospacing="0"/>
      </w:pPr>
      <w:r>
        <w:t xml:space="preserve">Simulate </w:t>
      </w:r>
      <w:r w:rsidR="007042B2">
        <w:t xml:space="preserve">1983-2014 conditions and future </w:t>
      </w:r>
      <w:r>
        <w:t>popu</w:t>
      </w:r>
      <w:r w:rsidR="007042B2">
        <w:t>lation/land-use, climate change and water-demand</w:t>
      </w:r>
      <w:r>
        <w:t xml:space="preserve"> scenarios in SWAT.</w:t>
      </w:r>
    </w:p>
    <w:p w14:paraId="2BEDAA06" w14:textId="77777777" w:rsidR="007B22AF" w:rsidRDefault="007B22AF" w:rsidP="007B22AF">
      <w:pPr>
        <w:pStyle w:val="NormalWeb"/>
        <w:numPr>
          <w:ilvl w:val="0"/>
          <w:numId w:val="23"/>
        </w:numPr>
        <w:spacing w:before="0" w:beforeAutospacing="0" w:after="0" w:afterAutospacing="0"/>
      </w:pPr>
      <w:r>
        <w:t>Develop ecological response models for 1983-2014 conditions</w:t>
      </w:r>
      <w:r w:rsidR="007042B2">
        <w:t xml:space="preserve"> using 1) land-use, temperature and precipitation data and 2) land-use and </w:t>
      </w:r>
      <w:r w:rsidR="00111E31">
        <w:t xml:space="preserve">simulated </w:t>
      </w:r>
      <w:r w:rsidR="007042B2">
        <w:t>flow data from the SWAT models</w:t>
      </w:r>
      <w:r>
        <w:t>.</w:t>
      </w:r>
    </w:p>
    <w:p w14:paraId="57A06432" w14:textId="77777777" w:rsidR="007042B2" w:rsidRDefault="007042B2" w:rsidP="007B22AF">
      <w:pPr>
        <w:pStyle w:val="NormalWeb"/>
        <w:numPr>
          <w:ilvl w:val="0"/>
          <w:numId w:val="23"/>
        </w:numPr>
        <w:spacing w:before="0" w:beforeAutospacing="0" w:after="0" w:afterAutospacing="0"/>
      </w:pPr>
      <w:r>
        <w:t>Simulate future population/land-use, climate change and water-demand scenarios in the groundwater flow model (MODFLOW).</w:t>
      </w:r>
    </w:p>
    <w:p w14:paraId="3F30BEF6" w14:textId="77777777" w:rsidR="007B22AF" w:rsidRDefault="007042B2" w:rsidP="007B22AF">
      <w:pPr>
        <w:pStyle w:val="NormalWeb"/>
        <w:numPr>
          <w:ilvl w:val="0"/>
          <w:numId w:val="23"/>
        </w:numPr>
        <w:spacing w:before="0" w:beforeAutospacing="0" w:after="0" w:afterAutospacing="0"/>
      </w:pPr>
      <w:r>
        <w:t xml:space="preserve">Generate saltwater-intrusion </w:t>
      </w:r>
      <w:r w:rsidR="007B22AF">
        <w:t xml:space="preserve">groundwater model </w:t>
      </w:r>
      <w:r>
        <w:t>(SEAWAT) from the calibrated MODFLOW model for a least one localized area (ie. Wilmington, NC and Georgetown, SC) and simulate future scenarios</w:t>
      </w:r>
      <w:r w:rsidR="007B22AF">
        <w:t>.</w:t>
      </w:r>
    </w:p>
    <w:p w14:paraId="4C1AB351" w14:textId="77777777" w:rsidR="00175854" w:rsidRDefault="0068479E" w:rsidP="006656CD">
      <w:pPr>
        <w:pStyle w:val="NormalWeb"/>
        <w:numPr>
          <w:ilvl w:val="0"/>
          <w:numId w:val="23"/>
        </w:numPr>
        <w:spacing w:before="0" w:beforeAutospacing="0" w:after="0" w:afterAutospacing="0"/>
      </w:pPr>
      <w:r>
        <w:t>Develop</w:t>
      </w:r>
      <w:r w:rsidR="006656CD">
        <w:t xml:space="preserve"> Decision Support Systems </w:t>
      </w:r>
      <w:r w:rsidR="00BE0121">
        <w:t>(DSS</w:t>
      </w:r>
      <w:r>
        <w:t xml:space="preserve">) </w:t>
      </w:r>
      <w:r w:rsidR="006656CD">
        <w:t>for surface-water salinity, aquifer a</w:t>
      </w:r>
      <w:r w:rsidR="006656CD" w:rsidRPr="006656CD">
        <w:t xml:space="preserve">nd ecological response to various surface-water and groundwater withdrawal and land-use scenarios resulting from a range of population growth projections and climate change/sea-level rise scenarios. Depending upon stakeholder needs and preferences, </w:t>
      </w:r>
      <w:r w:rsidR="006656CD">
        <w:t>i</w:t>
      </w:r>
      <w:r w:rsidR="006656CD" w:rsidRPr="006656CD">
        <w:t>t is anticipated that the groundwater DSS may have a GIS-based user interface, the surface-water DSS will leverage a user interface that was previously developed by Conrads and others (2013) (PRISM-2), and the ecological response DSS may have a spreadsheet-based user interface. Regardless of the exact form, all of the DSSs and user interfaces will allow users to select areas of interest or gaged locations and retrieve predictions of aquifer water levels and quality (in select areas), salinity or ecological conditions based on a predefined library of modeled water-withdrawal, ecological-flow requirement, and(or) climate change/sea-level rise scenarios.</w:t>
      </w:r>
      <w:r w:rsidR="007042B2">
        <w:t xml:space="preserve"> </w:t>
      </w:r>
    </w:p>
    <w:p w14:paraId="375DFCFF" w14:textId="77777777" w:rsidR="006656CD" w:rsidRDefault="006656CD" w:rsidP="006656CD">
      <w:pPr>
        <w:pStyle w:val="NormalWeb"/>
        <w:tabs>
          <w:tab w:val="left" w:pos="1958"/>
        </w:tabs>
        <w:spacing w:before="0" w:beforeAutospacing="0" w:after="0" w:afterAutospacing="0"/>
        <w:ind w:left="720"/>
      </w:pPr>
    </w:p>
    <w:p w14:paraId="16D6982C" w14:textId="041907A0" w:rsidR="000C5403" w:rsidRDefault="005936C1" w:rsidP="00630893">
      <w:pPr>
        <w:pStyle w:val="NormalWeb"/>
        <w:spacing w:before="0" w:beforeAutospacing="0" w:after="0" w:afterAutospacing="0"/>
        <w:rPr>
          <w:b/>
          <w:u w:val="single"/>
        </w:rPr>
      </w:pPr>
      <w:r>
        <w:rPr>
          <w:b/>
          <w:u w:val="single"/>
        </w:rPr>
        <w:t xml:space="preserve">CC FAS </w:t>
      </w:r>
      <w:r w:rsidR="00992680">
        <w:rPr>
          <w:b/>
          <w:u w:val="single"/>
        </w:rPr>
        <w:t>FY18</w:t>
      </w:r>
      <w:r w:rsidR="00921634" w:rsidRPr="00921634">
        <w:rPr>
          <w:b/>
          <w:u w:val="single"/>
        </w:rPr>
        <w:t xml:space="preserve"> </w:t>
      </w:r>
      <w:r w:rsidR="001A4A46" w:rsidRPr="00921634">
        <w:rPr>
          <w:b/>
          <w:u w:val="single"/>
        </w:rPr>
        <w:t>Budget Summary</w:t>
      </w:r>
    </w:p>
    <w:p w14:paraId="2A48D225" w14:textId="77777777" w:rsidR="005936C1" w:rsidRDefault="005936C1" w:rsidP="005936C1">
      <w:pPr>
        <w:pStyle w:val="NormalWeb"/>
        <w:spacing w:before="0" w:beforeAutospacing="0" w:after="0" w:afterAutospacing="0"/>
        <w:rPr>
          <w:b/>
        </w:rPr>
      </w:pPr>
    </w:p>
    <w:p w14:paraId="106B298E" w14:textId="77777777" w:rsidR="00C6354C" w:rsidRDefault="00C6354C" w:rsidP="00C6354C">
      <w:pPr>
        <w:pStyle w:val="NormalWeb"/>
        <w:spacing w:before="0" w:beforeAutospacing="0" w:after="0" w:afterAutospacing="0"/>
      </w:pPr>
      <w:r w:rsidRPr="0080751B">
        <w:rPr>
          <w:b/>
        </w:rPr>
        <w:t>Table 1.</w:t>
      </w:r>
      <w:r w:rsidRPr="0080751B">
        <w:t xml:space="preserve"> Estimated FY 2018 </w:t>
      </w:r>
      <w:r>
        <w:t>gross funding for CC</w:t>
      </w:r>
      <w:r w:rsidRPr="0080751B">
        <w:t xml:space="preserve"> FAS, itemized by Science Center and project component. </w:t>
      </w:r>
    </w:p>
    <w:p w14:paraId="6DC8B2AF" w14:textId="77777777" w:rsidR="00C6354C" w:rsidRPr="00C6354C" w:rsidRDefault="00C6354C" w:rsidP="00C6354C">
      <w:pPr>
        <w:pStyle w:val="NormalWeb"/>
        <w:spacing w:before="0" w:beforeAutospacing="0" w:after="0" w:afterAutospacing="0"/>
        <w:rPr>
          <w:sz w:val="16"/>
          <w:szCs w:val="16"/>
        </w:rPr>
      </w:pPr>
    </w:p>
    <w:tbl>
      <w:tblPr>
        <w:tblStyle w:val="TableGrid"/>
        <w:tblW w:w="8667" w:type="dxa"/>
        <w:tblBorders>
          <w:top w:val="single" w:sz="12" w:space="0" w:color="auto"/>
          <w:left w:val="none" w:sz="0" w:space="0" w:color="auto"/>
          <w:bottom w:val="single" w:sz="12" w:space="0" w:color="auto"/>
          <w:right w:val="none" w:sz="0" w:space="0" w:color="auto"/>
          <w:insideV w:val="none" w:sz="0" w:space="0" w:color="auto"/>
        </w:tblBorders>
        <w:tblLayout w:type="fixed"/>
        <w:tblLook w:val="04A0" w:firstRow="1" w:lastRow="0" w:firstColumn="1" w:lastColumn="0" w:noHBand="0" w:noVBand="1"/>
      </w:tblPr>
      <w:tblGrid>
        <w:gridCol w:w="4747"/>
        <w:gridCol w:w="1351"/>
        <w:gridCol w:w="1218"/>
        <w:gridCol w:w="1351"/>
      </w:tblGrid>
      <w:tr w:rsidR="00C6354C" w:rsidRPr="0080751B" w14:paraId="2C010299" w14:textId="77777777" w:rsidTr="00874EB1">
        <w:tc>
          <w:tcPr>
            <w:tcW w:w="4747" w:type="dxa"/>
            <w:tcBorders>
              <w:bottom w:val="single" w:sz="4" w:space="0" w:color="auto"/>
            </w:tcBorders>
          </w:tcPr>
          <w:p w14:paraId="7A25D797" w14:textId="77777777" w:rsidR="00C6354C" w:rsidRPr="00FE44E7" w:rsidRDefault="00C6354C" w:rsidP="00874EB1">
            <w:pPr>
              <w:pStyle w:val="NormalWeb"/>
              <w:spacing w:before="0" w:beforeAutospacing="0" w:after="0" w:afterAutospacing="0"/>
              <w:rPr>
                <w:b/>
                <w:sz w:val="22"/>
                <w:szCs w:val="22"/>
              </w:rPr>
            </w:pPr>
            <w:r w:rsidRPr="00FE44E7">
              <w:rPr>
                <w:b/>
                <w:sz w:val="22"/>
                <w:szCs w:val="22"/>
              </w:rPr>
              <w:t xml:space="preserve">Science Center </w:t>
            </w:r>
          </w:p>
          <w:p w14:paraId="18CCC61A"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Project Component</w:t>
            </w:r>
          </w:p>
        </w:tc>
        <w:tc>
          <w:tcPr>
            <w:tcW w:w="1351" w:type="dxa"/>
            <w:tcBorders>
              <w:bottom w:val="single" w:sz="4" w:space="0" w:color="auto"/>
            </w:tcBorders>
          </w:tcPr>
          <w:p w14:paraId="02D88BDF" w14:textId="77777777" w:rsidR="00C6354C" w:rsidRPr="00FE44E7" w:rsidRDefault="00C6354C" w:rsidP="00874EB1">
            <w:pPr>
              <w:pStyle w:val="NormalWeb"/>
              <w:spacing w:before="0" w:beforeAutospacing="0" w:after="0" w:afterAutospacing="0"/>
              <w:jc w:val="center"/>
              <w:rPr>
                <w:b/>
                <w:sz w:val="22"/>
                <w:szCs w:val="22"/>
              </w:rPr>
            </w:pPr>
            <w:r w:rsidRPr="00FE44E7">
              <w:rPr>
                <w:b/>
                <w:sz w:val="22"/>
                <w:szCs w:val="22"/>
              </w:rPr>
              <w:t>Salary</w:t>
            </w:r>
          </w:p>
        </w:tc>
        <w:tc>
          <w:tcPr>
            <w:tcW w:w="1218" w:type="dxa"/>
            <w:tcBorders>
              <w:bottom w:val="single" w:sz="4" w:space="0" w:color="auto"/>
            </w:tcBorders>
          </w:tcPr>
          <w:p w14:paraId="487A94DF" w14:textId="77777777" w:rsidR="00C6354C" w:rsidRPr="00FE44E7" w:rsidRDefault="00C6354C" w:rsidP="00874EB1">
            <w:pPr>
              <w:pStyle w:val="NormalWeb"/>
              <w:spacing w:before="0" w:beforeAutospacing="0" w:after="0" w:afterAutospacing="0"/>
              <w:jc w:val="center"/>
              <w:rPr>
                <w:b/>
                <w:sz w:val="22"/>
                <w:szCs w:val="22"/>
              </w:rPr>
            </w:pPr>
            <w:r w:rsidRPr="00FE44E7">
              <w:rPr>
                <w:b/>
                <w:sz w:val="22"/>
                <w:szCs w:val="22"/>
              </w:rPr>
              <w:t>Travel</w:t>
            </w:r>
          </w:p>
        </w:tc>
        <w:tc>
          <w:tcPr>
            <w:tcW w:w="1351" w:type="dxa"/>
            <w:tcBorders>
              <w:bottom w:val="single" w:sz="4" w:space="0" w:color="auto"/>
            </w:tcBorders>
          </w:tcPr>
          <w:p w14:paraId="21AE04F6" w14:textId="77777777" w:rsidR="00C6354C" w:rsidRPr="00FE44E7" w:rsidRDefault="00C6354C" w:rsidP="00874EB1">
            <w:pPr>
              <w:pStyle w:val="NormalWeb"/>
              <w:spacing w:before="0" w:beforeAutospacing="0" w:after="0" w:afterAutospacing="0"/>
              <w:jc w:val="center"/>
              <w:rPr>
                <w:b/>
                <w:sz w:val="22"/>
                <w:szCs w:val="22"/>
              </w:rPr>
            </w:pPr>
            <w:r w:rsidRPr="00FE44E7">
              <w:rPr>
                <w:b/>
                <w:sz w:val="22"/>
                <w:szCs w:val="22"/>
              </w:rPr>
              <w:t>Total</w:t>
            </w:r>
          </w:p>
        </w:tc>
      </w:tr>
      <w:tr w:rsidR="00C6354C" w:rsidRPr="0080751B" w14:paraId="72054391" w14:textId="77777777" w:rsidTr="00874EB1">
        <w:trPr>
          <w:trHeight w:val="2555"/>
        </w:trPr>
        <w:tc>
          <w:tcPr>
            <w:tcW w:w="4747" w:type="dxa"/>
            <w:tcBorders>
              <w:top w:val="single" w:sz="4" w:space="0" w:color="auto"/>
              <w:bottom w:val="nil"/>
            </w:tcBorders>
          </w:tcPr>
          <w:p w14:paraId="3DCD6805" w14:textId="77777777" w:rsidR="00C6354C" w:rsidRPr="00FE44E7" w:rsidRDefault="00C6354C" w:rsidP="00874EB1">
            <w:pPr>
              <w:pStyle w:val="NormalWeb"/>
              <w:spacing w:before="0" w:beforeAutospacing="0" w:after="0" w:afterAutospacing="0"/>
              <w:rPr>
                <w:b/>
                <w:sz w:val="22"/>
                <w:szCs w:val="22"/>
              </w:rPr>
            </w:pPr>
          </w:p>
          <w:p w14:paraId="0C1C69C0" w14:textId="36161283" w:rsidR="00C6354C" w:rsidRPr="00FE44E7" w:rsidRDefault="00C6354C" w:rsidP="00874EB1">
            <w:pPr>
              <w:pStyle w:val="NormalWeb"/>
              <w:spacing w:before="0" w:beforeAutospacing="0" w:after="0" w:afterAutospacing="0"/>
              <w:rPr>
                <w:sz w:val="22"/>
                <w:szCs w:val="22"/>
              </w:rPr>
            </w:pPr>
            <w:r w:rsidRPr="00FE44E7">
              <w:rPr>
                <w:b/>
                <w:sz w:val="22"/>
                <w:szCs w:val="22"/>
              </w:rPr>
              <w:t>S</w:t>
            </w:r>
            <w:r w:rsidR="00FE44E7">
              <w:rPr>
                <w:b/>
                <w:sz w:val="22"/>
                <w:szCs w:val="22"/>
              </w:rPr>
              <w:t>outh Atlantic</w:t>
            </w:r>
            <w:r w:rsidRPr="00FE44E7">
              <w:rPr>
                <w:b/>
                <w:sz w:val="22"/>
                <w:szCs w:val="22"/>
              </w:rPr>
              <w:t xml:space="preserve"> WSC</w:t>
            </w:r>
          </w:p>
          <w:p w14:paraId="3911ADBD"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 xml:space="preserve">Project Management, </w:t>
            </w:r>
          </w:p>
          <w:p w14:paraId="7642EDF8"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 xml:space="preserve">Water Use, Data Management </w:t>
            </w:r>
          </w:p>
          <w:p w14:paraId="00B039C9"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Groundwater Modeling</w:t>
            </w:r>
          </w:p>
          <w:p w14:paraId="03A57CB6"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Surface-water Modeling</w:t>
            </w:r>
          </w:p>
          <w:p w14:paraId="7EADF76E"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Ecological Response Modeling</w:t>
            </w:r>
          </w:p>
          <w:p w14:paraId="72FA2DD4"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Publications (SPN)</w:t>
            </w:r>
          </w:p>
          <w:p w14:paraId="02BD0A24"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Conference</w:t>
            </w:r>
          </w:p>
        </w:tc>
        <w:tc>
          <w:tcPr>
            <w:tcW w:w="1351" w:type="dxa"/>
            <w:tcBorders>
              <w:top w:val="single" w:sz="4" w:space="0" w:color="auto"/>
              <w:bottom w:val="nil"/>
            </w:tcBorders>
          </w:tcPr>
          <w:p w14:paraId="293ABEC0" w14:textId="77777777" w:rsidR="00C6354C" w:rsidRPr="00FE44E7" w:rsidRDefault="00C6354C" w:rsidP="00874EB1">
            <w:pPr>
              <w:pStyle w:val="NormalWeb"/>
              <w:spacing w:before="0" w:beforeAutospacing="0" w:after="0" w:afterAutospacing="0"/>
              <w:jc w:val="right"/>
              <w:rPr>
                <w:sz w:val="22"/>
                <w:szCs w:val="22"/>
              </w:rPr>
            </w:pPr>
          </w:p>
          <w:p w14:paraId="4DB4A404"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$366,000</w:t>
            </w:r>
          </w:p>
          <w:p w14:paraId="26051D3F"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$10,000</w:t>
            </w:r>
          </w:p>
          <w:p w14:paraId="2D3FD407"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$48,000</w:t>
            </w:r>
          </w:p>
          <w:p w14:paraId="04B5D7BB"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$90,000</w:t>
            </w:r>
          </w:p>
          <w:p w14:paraId="4F21C37A"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$140,000</w:t>
            </w:r>
          </w:p>
          <w:p w14:paraId="5D54EF0B"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$48,000</w:t>
            </w:r>
          </w:p>
          <w:p w14:paraId="1E635D07"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$30,000</w:t>
            </w:r>
          </w:p>
          <w:p w14:paraId="170AD608" w14:textId="54ACBAF2" w:rsidR="00C6354C" w:rsidRPr="00FE44E7" w:rsidRDefault="00FE44E7" w:rsidP="00FE44E7">
            <w:pPr>
              <w:pStyle w:val="NormalWeb"/>
              <w:spacing w:before="0" w:beforeAutospacing="0" w:after="0" w:afterAutospacing="0"/>
              <w:jc w:val="right"/>
              <w:rPr>
                <w:sz w:val="22"/>
                <w:szCs w:val="22"/>
              </w:rPr>
            </w:pPr>
            <w:r w:rsidRPr="00FE44E7">
              <w:rPr>
                <w:sz w:val="22"/>
                <w:szCs w:val="22"/>
              </w:rPr>
              <w:t xml:space="preserve"> --</w:t>
            </w:r>
          </w:p>
        </w:tc>
        <w:tc>
          <w:tcPr>
            <w:tcW w:w="1218" w:type="dxa"/>
            <w:tcBorders>
              <w:top w:val="single" w:sz="4" w:space="0" w:color="auto"/>
              <w:bottom w:val="nil"/>
            </w:tcBorders>
          </w:tcPr>
          <w:p w14:paraId="15C1A55C" w14:textId="77777777" w:rsidR="00C6354C" w:rsidRPr="00FE44E7" w:rsidRDefault="00C6354C" w:rsidP="00874EB1">
            <w:pPr>
              <w:pStyle w:val="NormalWeb"/>
              <w:spacing w:before="0" w:beforeAutospacing="0" w:after="0" w:afterAutospacing="0"/>
              <w:jc w:val="right"/>
              <w:rPr>
                <w:sz w:val="22"/>
                <w:szCs w:val="22"/>
              </w:rPr>
            </w:pPr>
          </w:p>
          <w:p w14:paraId="40F17398"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$8,000</w:t>
            </w:r>
          </w:p>
          <w:p w14:paraId="09EC5867"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$3,000</w:t>
            </w:r>
          </w:p>
          <w:p w14:paraId="4B081426"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p w14:paraId="0FF9E081"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$1,000</w:t>
            </w:r>
          </w:p>
          <w:p w14:paraId="00268185"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p w14:paraId="604377D2"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p w14:paraId="1758AF73"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p w14:paraId="404F8FD1"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$4,000</w:t>
            </w:r>
          </w:p>
        </w:tc>
        <w:tc>
          <w:tcPr>
            <w:tcW w:w="1351" w:type="dxa"/>
            <w:tcBorders>
              <w:top w:val="single" w:sz="4" w:space="0" w:color="auto"/>
              <w:bottom w:val="nil"/>
            </w:tcBorders>
          </w:tcPr>
          <w:p w14:paraId="474D11E1" w14:textId="77777777" w:rsidR="00C6354C" w:rsidRPr="00FE44E7" w:rsidRDefault="00C6354C" w:rsidP="00874EB1">
            <w:pPr>
              <w:pStyle w:val="NormalWeb"/>
              <w:spacing w:before="0" w:beforeAutospacing="0" w:after="0" w:afterAutospacing="0"/>
              <w:jc w:val="right"/>
              <w:rPr>
                <w:sz w:val="22"/>
                <w:szCs w:val="22"/>
              </w:rPr>
            </w:pPr>
          </w:p>
          <w:p w14:paraId="72B3AD1E"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$374,000</w:t>
            </w:r>
          </w:p>
        </w:tc>
      </w:tr>
      <w:tr w:rsidR="00C6354C" w:rsidRPr="0080751B" w14:paraId="3644129C" w14:textId="77777777" w:rsidTr="00874EB1">
        <w:tc>
          <w:tcPr>
            <w:tcW w:w="4747" w:type="dxa"/>
            <w:tcBorders>
              <w:top w:val="nil"/>
              <w:bottom w:val="nil"/>
            </w:tcBorders>
          </w:tcPr>
          <w:p w14:paraId="4EFE12A0" w14:textId="77777777" w:rsidR="00C6354C" w:rsidRPr="00FE44E7" w:rsidRDefault="00C6354C" w:rsidP="00874EB1">
            <w:pPr>
              <w:pStyle w:val="NormalWeb"/>
              <w:spacing w:before="0" w:beforeAutospacing="0" w:after="0" w:afterAutospacing="0"/>
              <w:rPr>
                <w:sz w:val="22"/>
                <w:szCs w:val="22"/>
              </w:rPr>
            </w:pPr>
            <w:r w:rsidRPr="00FE44E7">
              <w:rPr>
                <w:b/>
                <w:sz w:val="22"/>
                <w:szCs w:val="22"/>
              </w:rPr>
              <w:t>California WSC</w:t>
            </w:r>
          </w:p>
          <w:p w14:paraId="041D7532"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Ecological Response Modeling</w:t>
            </w:r>
          </w:p>
        </w:tc>
        <w:tc>
          <w:tcPr>
            <w:tcW w:w="1351" w:type="dxa"/>
            <w:tcBorders>
              <w:top w:val="nil"/>
              <w:bottom w:val="nil"/>
            </w:tcBorders>
          </w:tcPr>
          <w:p w14:paraId="7925B64F"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$86,000</w:t>
            </w:r>
          </w:p>
        </w:tc>
        <w:tc>
          <w:tcPr>
            <w:tcW w:w="1218" w:type="dxa"/>
            <w:tcBorders>
              <w:top w:val="nil"/>
              <w:bottom w:val="nil"/>
            </w:tcBorders>
          </w:tcPr>
          <w:p w14:paraId="36CFE8EA"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$4,000</w:t>
            </w:r>
          </w:p>
        </w:tc>
        <w:tc>
          <w:tcPr>
            <w:tcW w:w="1351" w:type="dxa"/>
            <w:tcBorders>
              <w:top w:val="nil"/>
              <w:bottom w:val="nil"/>
            </w:tcBorders>
          </w:tcPr>
          <w:p w14:paraId="6127285B"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$90,000</w:t>
            </w:r>
          </w:p>
        </w:tc>
      </w:tr>
      <w:tr w:rsidR="00C6354C" w:rsidRPr="0080751B" w14:paraId="11AFFB87" w14:textId="77777777" w:rsidTr="00874EB1">
        <w:tc>
          <w:tcPr>
            <w:tcW w:w="4747" w:type="dxa"/>
            <w:tcBorders>
              <w:top w:val="nil"/>
              <w:bottom w:val="nil"/>
            </w:tcBorders>
          </w:tcPr>
          <w:p w14:paraId="6C8AC58F" w14:textId="77777777" w:rsidR="00C6354C" w:rsidRPr="00FE44E7" w:rsidRDefault="00C6354C" w:rsidP="00874EB1">
            <w:pPr>
              <w:pStyle w:val="NormalWeb"/>
              <w:spacing w:before="0" w:beforeAutospacing="0" w:after="0" w:afterAutospacing="0"/>
              <w:rPr>
                <w:b/>
                <w:sz w:val="22"/>
                <w:szCs w:val="22"/>
              </w:rPr>
            </w:pPr>
          </w:p>
          <w:p w14:paraId="22C9E574" w14:textId="77777777" w:rsidR="00C6354C" w:rsidRPr="00FE44E7" w:rsidRDefault="00C6354C" w:rsidP="00874EB1">
            <w:pPr>
              <w:pStyle w:val="NormalWeb"/>
              <w:spacing w:before="0" w:beforeAutospacing="0" w:after="0" w:afterAutospacing="0"/>
              <w:rPr>
                <w:b/>
                <w:sz w:val="22"/>
                <w:szCs w:val="22"/>
              </w:rPr>
            </w:pPr>
            <w:r w:rsidRPr="00FE44E7">
              <w:rPr>
                <w:b/>
                <w:sz w:val="22"/>
                <w:szCs w:val="22"/>
              </w:rPr>
              <w:t>Patuxent Wildlife Research Center</w:t>
            </w:r>
          </w:p>
          <w:p w14:paraId="36745933"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Ecological Response Modeling</w:t>
            </w:r>
          </w:p>
          <w:p w14:paraId="288ECD00" w14:textId="77777777" w:rsidR="00C6354C" w:rsidRPr="00FE44E7" w:rsidRDefault="00C6354C" w:rsidP="00874EB1">
            <w:pPr>
              <w:pStyle w:val="NormalWeb"/>
              <w:spacing w:before="0" w:beforeAutospacing="0" w:after="0" w:afterAutospacing="0"/>
              <w:ind w:left="157"/>
              <w:rPr>
                <w:sz w:val="22"/>
                <w:szCs w:val="22"/>
              </w:rPr>
            </w:pPr>
          </w:p>
        </w:tc>
        <w:tc>
          <w:tcPr>
            <w:tcW w:w="1351" w:type="dxa"/>
            <w:tcBorders>
              <w:top w:val="nil"/>
              <w:bottom w:val="nil"/>
            </w:tcBorders>
          </w:tcPr>
          <w:p w14:paraId="095B39D1" w14:textId="77777777" w:rsidR="00C6354C" w:rsidRPr="00FE44E7" w:rsidRDefault="00C6354C" w:rsidP="00FE44E7">
            <w:pPr>
              <w:pStyle w:val="NormalWeb"/>
              <w:spacing w:before="0" w:beforeAutospacing="0" w:after="0" w:afterAutospacing="0"/>
              <w:jc w:val="center"/>
              <w:rPr>
                <w:sz w:val="22"/>
                <w:szCs w:val="22"/>
              </w:rPr>
            </w:pPr>
          </w:p>
          <w:p w14:paraId="0BC5BEFA"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$10,000</w:t>
            </w:r>
          </w:p>
        </w:tc>
        <w:tc>
          <w:tcPr>
            <w:tcW w:w="1218" w:type="dxa"/>
            <w:tcBorders>
              <w:top w:val="nil"/>
              <w:bottom w:val="nil"/>
            </w:tcBorders>
          </w:tcPr>
          <w:p w14:paraId="3C3C2B34" w14:textId="77777777" w:rsidR="00C6354C" w:rsidRPr="00FE44E7" w:rsidRDefault="00C6354C" w:rsidP="00874EB1">
            <w:pPr>
              <w:pStyle w:val="NormalWeb"/>
              <w:spacing w:before="0" w:beforeAutospacing="0" w:after="0" w:afterAutospacing="0"/>
              <w:jc w:val="right"/>
              <w:rPr>
                <w:sz w:val="22"/>
                <w:szCs w:val="22"/>
              </w:rPr>
            </w:pPr>
          </w:p>
          <w:p w14:paraId="6B522E13"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tc>
        <w:tc>
          <w:tcPr>
            <w:tcW w:w="1351" w:type="dxa"/>
            <w:tcBorders>
              <w:top w:val="nil"/>
              <w:bottom w:val="nil"/>
            </w:tcBorders>
          </w:tcPr>
          <w:p w14:paraId="4ABE73FB" w14:textId="77777777" w:rsidR="00C6354C" w:rsidRPr="00FE44E7" w:rsidRDefault="00C6354C" w:rsidP="00874EB1">
            <w:pPr>
              <w:pStyle w:val="NormalWeb"/>
              <w:spacing w:before="0" w:beforeAutospacing="0" w:after="0" w:afterAutospacing="0"/>
              <w:jc w:val="right"/>
              <w:rPr>
                <w:sz w:val="22"/>
                <w:szCs w:val="22"/>
              </w:rPr>
            </w:pPr>
          </w:p>
          <w:p w14:paraId="07743F60"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$10,000</w:t>
            </w:r>
          </w:p>
        </w:tc>
      </w:tr>
      <w:tr w:rsidR="00C6354C" w:rsidRPr="0080751B" w14:paraId="03FDB069" w14:textId="77777777" w:rsidTr="00874EB1">
        <w:tc>
          <w:tcPr>
            <w:tcW w:w="4747" w:type="dxa"/>
            <w:tcBorders>
              <w:top w:val="nil"/>
              <w:bottom w:val="nil"/>
            </w:tcBorders>
          </w:tcPr>
          <w:p w14:paraId="27511F9E" w14:textId="3C50CE6C" w:rsidR="00C6354C" w:rsidRPr="00FE44E7" w:rsidRDefault="00C6354C" w:rsidP="00874EB1">
            <w:pPr>
              <w:pStyle w:val="NormalWeb"/>
              <w:spacing w:before="0" w:beforeAutospacing="0" w:after="0" w:afterAutospacing="0"/>
              <w:rPr>
                <w:sz w:val="22"/>
                <w:szCs w:val="22"/>
              </w:rPr>
            </w:pPr>
            <w:r w:rsidRPr="00FE44E7">
              <w:rPr>
                <w:b/>
                <w:sz w:val="22"/>
                <w:szCs w:val="22"/>
              </w:rPr>
              <w:t>L</w:t>
            </w:r>
            <w:r w:rsidR="00FE44E7">
              <w:rPr>
                <w:b/>
                <w:sz w:val="22"/>
                <w:szCs w:val="22"/>
              </w:rPr>
              <w:t>ower Mississippi-Gulf</w:t>
            </w:r>
            <w:r w:rsidRPr="00FE44E7">
              <w:rPr>
                <w:b/>
                <w:sz w:val="22"/>
                <w:szCs w:val="22"/>
              </w:rPr>
              <w:t xml:space="preserve"> WSC</w:t>
            </w:r>
          </w:p>
          <w:p w14:paraId="6E36C55D"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Ecological Response Modeling</w:t>
            </w:r>
          </w:p>
        </w:tc>
        <w:tc>
          <w:tcPr>
            <w:tcW w:w="1351" w:type="dxa"/>
            <w:tcBorders>
              <w:top w:val="nil"/>
              <w:bottom w:val="nil"/>
            </w:tcBorders>
          </w:tcPr>
          <w:p w14:paraId="463E803D"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$5,000</w:t>
            </w:r>
          </w:p>
        </w:tc>
        <w:tc>
          <w:tcPr>
            <w:tcW w:w="1218" w:type="dxa"/>
            <w:tcBorders>
              <w:top w:val="nil"/>
              <w:bottom w:val="nil"/>
            </w:tcBorders>
          </w:tcPr>
          <w:p w14:paraId="66CA7CF3"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tc>
        <w:tc>
          <w:tcPr>
            <w:tcW w:w="1351" w:type="dxa"/>
            <w:tcBorders>
              <w:top w:val="nil"/>
              <w:bottom w:val="nil"/>
            </w:tcBorders>
          </w:tcPr>
          <w:p w14:paraId="0128597D"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$5,000</w:t>
            </w:r>
          </w:p>
        </w:tc>
      </w:tr>
      <w:tr w:rsidR="00C6354C" w:rsidRPr="0080751B" w14:paraId="67DF3653" w14:textId="77777777" w:rsidTr="00874EB1">
        <w:tc>
          <w:tcPr>
            <w:tcW w:w="4747" w:type="dxa"/>
            <w:tcBorders>
              <w:top w:val="nil"/>
              <w:bottom w:val="nil"/>
            </w:tcBorders>
          </w:tcPr>
          <w:p w14:paraId="36654EC3" w14:textId="77777777" w:rsidR="00C6354C" w:rsidRPr="00FE44E7" w:rsidRDefault="00C6354C" w:rsidP="00874EB1">
            <w:pPr>
              <w:pStyle w:val="NormalWeb"/>
              <w:spacing w:before="0" w:beforeAutospacing="0" w:after="0" w:afterAutospacing="0"/>
              <w:rPr>
                <w:b/>
                <w:sz w:val="22"/>
                <w:szCs w:val="22"/>
              </w:rPr>
            </w:pPr>
          </w:p>
          <w:p w14:paraId="678B7107" w14:textId="7AEF5CC2" w:rsidR="00C6354C" w:rsidRPr="00FE44E7" w:rsidRDefault="00FE44E7" w:rsidP="00874EB1">
            <w:pPr>
              <w:pStyle w:val="NormalWeb"/>
              <w:spacing w:before="0" w:beforeAutospacing="0" w:after="0" w:afterAutospacing="0"/>
              <w:rPr>
                <w:b/>
                <w:sz w:val="22"/>
                <w:szCs w:val="22"/>
              </w:rPr>
            </w:pPr>
            <w:r>
              <w:rPr>
                <w:b/>
                <w:sz w:val="22"/>
                <w:szCs w:val="22"/>
              </w:rPr>
              <w:t>Texas</w:t>
            </w:r>
            <w:r w:rsidR="00C6354C" w:rsidRPr="00FE44E7">
              <w:rPr>
                <w:b/>
                <w:sz w:val="22"/>
                <w:szCs w:val="22"/>
              </w:rPr>
              <w:t xml:space="preserve"> WSC </w:t>
            </w:r>
          </w:p>
          <w:p w14:paraId="6B7C007E"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Surface-water Modeling</w:t>
            </w:r>
          </w:p>
          <w:p w14:paraId="0F2BD1A5" w14:textId="77777777" w:rsidR="00C6354C" w:rsidRPr="00FE44E7" w:rsidRDefault="00C6354C" w:rsidP="00874EB1">
            <w:pPr>
              <w:pStyle w:val="NormalWeb"/>
              <w:spacing w:before="0" w:beforeAutospacing="0" w:after="0" w:afterAutospacing="0"/>
              <w:ind w:left="157"/>
              <w:rPr>
                <w:sz w:val="22"/>
                <w:szCs w:val="22"/>
              </w:rPr>
            </w:pPr>
            <w:r w:rsidRPr="00FE44E7">
              <w:rPr>
                <w:sz w:val="22"/>
                <w:szCs w:val="22"/>
              </w:rPr>
              <w:t>Data Visualization</w:t>
            </w:r>
          </w:p>
          <w:p w14:paraId="1F1661C3" w14:textId="77777777" w:rsidR="00C6354C" w:rsidRPr="00FE44E7" w:rsidRDefault="00C6354C" w:rsidP="00874EB1">
            <w:pPr>
              <w:pStyle w:val="NormalWeb"/>
              <w:spacing w:before="0" w:beforeAutospacing="0" w:after="0" w:afterAutospacing="0"/>
              <w:ind w:left="157"/>
              <w:rPr>
                <w:sz w:val="22"/>
                <w:szCs w:val="22"/>
              </w:rPr>
            </w:pPr>
          </w:p>
        </w:tc>
        <w:tc>
          <w:tcPr>
            <w:tcW w:w="1351" w:type="dxa"/>
            <w:tcBorders>
              <w:top w:val="nil"/>
              <w:bottom w:val="nil"/>
            </w:tcBorders>
          </w:tcPr>
          <w:p w14:paraId="38B13FDF" w14:textId="77777777" w:rsidR="00C6354C" w:rsidRPr="00FE44E7" w:rsidRDefault="00C6354C" w:rsidP="00874EB1">
            <w:pPr>
              <w:pStyle w:val="NormalWeb"/>
              <w:spacing w:before="0" w:beforeAutospacing="0" w:after="0" w:afterAutospacing="0"/>
              <w:jc w:val="right"/>
              <w:rPr>
                <w:sz w:val="22"/>
                <w:szCs w:val="22"/>
              </w:rPr>
            </w:pPr>
          </w:p>
          <w:p w14:paraId="02EC132D"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$21,000</w:t>
            </w:r>
          </w:p>
          <w:p w14:paraId="35A84B90"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$6,000</w:t>
            </w:r>
          </w:p>
          <w:p w14:paraId="14679F38"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$15,000</w:t>
            </w:r>
          </w:p>
        </w:tc>
        <w:tc>
          <w:tcPr>
            <w:tcW w:w="1218" w:type="dxa"/>
            <w:tcBorders>
              <w:top w:val="nil"/>
              <w:bottom w:val="nil"/>
            </w:tcBorders>
          </w:tcPr>
          <w:p w14:paraId="6653F1E5" w14:textId="77777777" w:rsidR="00C6354C" w:rsidRPr="00FE44E7" w:rsidRDefault="00C6354C" w:rsidP="00874EB1">
            <w:pPr>
              <w:pStyle w:val="NormalWeb"/>
              <w:spacing w:before="0" w:beforeAutospacing="0" w:after="0" w:afterAutospacing="0"/>
              <w:jc w:val="right"/>
              <w:rPr>
                <w:sz w:val="22"/>
                <w:szCs w:val="22"/>
              </w:rPr>
            </w:pPr>
          </w:p>
          <w:p w14:paraId="3D73D421"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p w14:paraId="1F9DCC15"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p w14:paraId="03AB1028"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w:t>
            </w:r>
          </w:p>
        </w:tc>
        <w:tc>
          <w:tcPr>
            <w:tcW w:w="1351" w:type="dxa"/>
            <w:tcBorders>
              <w:top w:val="nil"/>
              <w:bottom w:val="nil"/>
            </w:tcBorders>
          </w:tcPr>
          <w:p w14:paraId="54978FCB" w14:textId="77777777" w:rsidR="00C6354C" w:rsidRPr="00FE44E7" w:rsidRDefault="00C6354C" w:rsidP="00874EB1">
            <w:pPr>
              <w:pStyle w:val="NormalWeb"/>
              <w:spacing w:before="0" w:beforeAutospacing="0" w:after="0" w:afterAutospacing="0"/>
              <w:jc w:val="right"/>
              <w:rPr>
                <w:sz w:val="22"/>
                <w:szCs w:val="22"/>
              </w:rPr>
            </w:pPr>
          </w:p>
          <w:p w14:paraId="5574409A"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$21,000</w:t>
            </w:r>
          </w:p>
        </w:tc>
      </w:tr>
      <w:tr w:rsidR="00C6354C" w:rsidRPr="0080751B" w14:paraId="40072950" w14:textId="77777777" w:rsidTr="00874EB1">
        <w:tc>
          <w:tcPr>
            <w:tcW w:w="4747" w:type="dxa"/>
            <w:tcBorders>
              <w:top w:val="single" w:sz="4" w:space="0" w:color="auto"/>
            </w:tcBorders>
          </w:tcPr>
          <w:p w14:paraId="7933FAF2" w14:textId="77777777" w:rsidR="00C6354C" w:rsidRPr="00FE44E7" w:rsidRDefault="00C6354C" w:rsidP="00874EB1">
            <w:pPr>
              <w:pStyle w:val="NormalWeb"/>
              <w:spacing w:before="0" w:beforeAutospacing="0" w:after="0" w:afterAutospacing="0"/>
              <w:rPr>
                <w:b/>
                <w:sz w:val="22"/>
                <w:szCs w:val="22"/>
              </w:rPr>
            </w:pPr>
            <w:r w:rsidRPr="00FE44E7">
              <w:rPr>
                <w:b/>
                <w:sz w:val="22"/>
                <w:szCs w:val="22"/>
              </w:rPr>
              <w:t>TOTAL</w:t>
            </w:r>
          </w:p>
        </w:tc>
        <w:tc>
          <w:tcPr>
            <w:tcW w:w="1351" w:type="dxa"/>
            <w:tcBorders>
              <w:top w:val="single" w:sz="4" w:space="0" w:color="auto"/>
            </w:tcBorders>
          </w:tcPr>
          <w:p w14:paraId="5A2F0C39"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$488,000</w:t>
            </w:r>
          </w:p>
        </w:tc>
        <w:tc>
          <w:tcPr>
            <w:tcW w:w="1218" w:type="dxa"/>
            <w:tcBorders>
              <w:top w:val="single" w:sz="4" w:space="0" w:color="auto"/>
            </w:tcBorders>
          </w:tcPr>
          <w:p w14:paraId="59F4DFB7"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$12,000</w:t>
            </w:r>
          </w:p>
        </w:tc>
        <w:tc>
          <w:tcPr>
            <w:tcW w:w="1351" w:type="dxa"/>
            <w:tcBorders>
              <w:top w:val="single" w:sz="4" w:space="0" w:color="auto"/>
            </w:tcBorders>
          </w:tcPr>
          <w:p w14:paraId="223756BC" w14:textId="77777777" w:rsidR="00C6354C" w:rsidRPr="00FE44E7" w:rsidRDefault="00C6354C" w:rsidP="00874EB1">
            <w:pPr>
              <w:pStyle w:val="NormalWeb"/>
              <w:spacing w:before="0" w:beforeAutospacing="0" w:after="0" w:afterAutospacing="0"/>
              <w:jc w:val="right"/>
              <w:rPr>
                <w:sz w:val="22"/>
                <w:szCs w:val="22"/>
              </w:rPr>
            </w:pPr>
            <w:r w:rsidRPr="00FE44E7">
              <w:rPr>
                <w:sz w:val="22"/>
                <w:szCs w:val="22"/>
              </w:rPr>
              <w:t>$500,000</w:t>
            </w:r>
          </w:p>
        </w:tc>
      </w:tr>
    </w:tbl>
    <w:p w14:paraId="313C39EB" w14:textId="77777777" w:rsidR="00C6354C" w:rsidRDefault="00C6354C" w:rsidP="005936C1">
      <w:pPr>
        <w:pStyle w:val="NormalWeb"/>
        <w:spacing w:before="0" w:beforeAutospacing="0" w:after="0" w:afterAutospacing="0"/>
        <w:rPr>
          <w:b/>
        </w:rPr>
      </w:pPr>
    </w:p>
    <w:p w14:paraId="3073653F" w14:textId="13B8295A" w:rsidR="00122932" w:rsidRDefault="000C5403" w:rsidP="00122932">
      <w:pPr>
        <w:pStyle w:val="NormalWeb"/>
        <w:spacing w:after="0" w:afterAutospacing="0"/>
        <w:rPr>
          <w:rStyle w:val="Strong"/>
        </w:rPr>
      </w:pPr>
      <w:r>
        <w:rPr>
          <w:rStyle w:val="Strong"/>
        </w:rPr>
        <w:t>(3) NOTEWORTH</w:t>
      </w:r>
      <w:r w:rsidR="00F3700B">
        <w:rPr>
          <w:rStyle w:val="Strong"/>
        </w:rPr>
        <w:t xml:space="preserve">Y COLLABORATIONS, MEETINGS, </w:t>
      </w:r>
      <w:r>
        <w:rPr>
          <w:rStyle w:val="Strong"/>
        </w:rPr>
        <w:t>TECHNICAL TRANSFER ACTIVITIES</w:t>
      </w:r>
      <w:r w:rsidR="00F3700B">
        <w:rPr>
          <w:rStyle w:val="Strong"/>
        </w:rPr>
        <w:t>, SPIN-OFF PROJECT DEVELOPMENTS</w:t>
      </w:r>
      <w:r w:rsidR="00630893">
        <w:rPr>
          <w:rStyle w:val="Strong"/>
        </w:rPr>
        <w:t>, AND ACKNOWLEDGEMENTS</w:t>
      </w:r>
    </w:p>
    <w:p w14:paraId="55FFFCB3" w14:textId="77777777" w:rsidR="00122932" w:rsidRDefault="00122932" w:rsidP="00122932">
      <w:pPr>
        <w:pStyle w:val="NormalWeb"/>
        <w:spacing w:before="0" w:beforeAutospacing="0" w:after="0" w:afterAutospacing="0"/>
        <w:rPr>
          <w:color w:val="000000"/>
        </w:rPr>
      </w:pPr>
    </w:p>
    <w:p w14:paraId="67755CC9" w14:textId="77777777" w:rsidR="00D54A08" w:rsidRDefault="00D54A08" w:rsidP="00630893">
      <w:pPr>
        <w:pStyle w:val="NormalWeb"/>
        <w:spacing w:before="0" w:beforeAutospacing="0"/>
        <w:rPr>
          <w:color w:val="000000"/>
        </w:rPr>
      </w:pPr>
      <w:r>
        <w:rPr>
          <w:color w:val="000000"/>
        </w:rPr>
        <w:t>Presented an overview of project to and interacted with stakeholders at mu</w:t>
      </w:r>
      <w:r w:rsidR="00403455">
        <w:rPr>
          <w:color w:val="000000"/>
        </w:rPr>
        <w:t>ltiple informal meetings and a formal Stakeholder engagement meeting in Sunset Beach, NC on May 4, 2017.</w:t>
      </w:r>
    </w:p>
    <w:p w14:paraId="1C75854E" w14:textId="30255F1F" w:rsidR="00371A70" w:rsidRDefault="001B4145" w:rsidP="00630893">
      <w:pPr>
        <w:pStyle w:val="NormalWeb"/>
        <w:spacing w:before="0" w:beforeAutospacing="0"/>
        <w:rPr>
          <w:color w:val="000000"/>
        </w:rPr>
      </w:pPr>
      <w:r>
        <w:rPr>
          <w:color w:val="000000"/>
        </w:rPr>
        <w:t>T</w:t>
      </w:r>
      <w:r w:rsidR="00371A70">
        <w:rPr>
          <w:color w:val="000000"/>
        </w:rPr>
        <w:t>wo</w:t>
      </w:r>
      <w:r w:rsidR="00D54A08">
        <w:rPr>
          <w:color w:val="000000"/>
        </w:rPr>
        <w:t xml:space="preserve"> </w:t>
      </w:r>
      <w:r>
        <w:rPr>
          <w:color w:val="000000"/>
        </w:rPr>
        <w:t>“</w:t>
      </w:r>
      <w:r w:rsidR="00D54A08">
        <w:rPr>
          <w:color w:val="000000"/>
        </w:rPr>
        <w:t>spin-off</w:t>
      </w:r>
      <w:r>
        <w:rPr>
          <w:color w:val="000000"/>
        </w:rPr>
        <w:t>”</w:t>
      </w:r>
      <w:r w:rsidR="00D54A08">
        <w:rPr>
          <w:color w:val="000000"/>
        </w:rPr>
        <w:t xml:space="preserve"> projects </w:t>
      </w:r>
      <w:r w:rsidR="00371A70">
        <w:rPr>
          <w:color w:val="000000"/>
        </w:rPr>
        <w:t xml:space="preserve">related to the Focus Area Study </w:t>
      </w:r>
      <w:r>
        <w:rPr>
          <w:color w:val="000000"/>
        </w:rPr>
        <w:t xml:space="preserve">have been developed to address local stakeholder needs </w:t>
      </w:r>
      <w:r w:rsidR="00371A70">
        <w:rPr>
          <w:color w:val="000000"/>
        </w:rPr>
        <w:t xml:space="preserve">so far:  </w:t>
      </w:r>
    </w:p>
    <w:p w14:paraId="6387C598" w14:textId="36450965" w:rsidR="00371A70" w:rsidRPr="00371A70" w:rsidRDefault="006D6D66" w:rsidP="00371A70">
      <w:pPr>
        <w:pStyle w:val="NormalWeb"/>
        <w:numPr>
          <w:ilvl w:val="0"/>
          <w:numId w:val="25"/>
        </w:numPr>
        <w:spacing w:before="0" w:beforeAutospacing="0"/>
        <w:rPr>
          <w:color w:val="000000"/>
        </w:rPr>
      </w:pPr>
      <w:r>
        <w:t>E</w:t>
      </w:r>
      <w:r w:rsidR="001B4145">
        <w:t xml:space="preserve">xtension of the CC FAS </w:t>
      </w:r>
      <w:r w:rsidR="00371A70">
        <w:t xml:space="preserve">groundwater model to include the entire SC coastal plain and portions of the coastal plain in GA and NC. Funded by the State of SC. </w:t>
      </w:r>
    </w:p>
    <w:p w14:paraId="6AB44443" w14:textId="5B4ABEF6" w:rsidR="00371A70" w:rsidRPr="00371A70" w:rsidRDefault="001B4145" w:rsidP="00371A70">
      <w:pPr>
        <w:pStyle w:val="NormalWeb"/>
        <w:numPr>
          <w:ilvl w:val="0"/>
          <w:numId w:val="25"/>
        </w:numPr>
        <w:spacing w:before="0" w:beforeAutospacing="0"/>
        <w:rPr>
          <w:color w:val="000000"/>
        </w:rPr>
      </w:pPr>
      <w:r>
        <w:t>Assessment of a</w:t>
      </w:r>
      <w:r w:rsidR="00371A70">
        <w:t xml:space="preserve">quifer vulnerability </w:t>
      </w:r>
      <w:r w:rsidR="00486362">
        <w:t xml:space="preserve">(to climate and anthropogenic-induced water-level declines, contamination) </w:t>
      </w:r>
      <w:r w:rsidR="00371A70">
        <w:t xml:space="preserve">study of New Hanover County, NC that will </w:t>
      </w:r>
      <w:r>
        <w:t xml:space="preserve">utilizing </w:t>
      </w:r>
      <w:r w:rsidR="00371A70">
        <w:t xml:space="preserve">the </w:t>
      </w:r>
      <w:r>
        <w:t xml:space="preserve">CC </w:t>
      </w:r>
      <w:r w:rsidR="00371A70">
        <w:t xml:space="preserve">FAS </w:t>
      </w:r>
      <w:r>
        <w:t xml:space="preserve">Soil-Water Balance and </w:t>
      </w:r>
      <w:r w:rsidR="00371A70">
        <w:t>groundwater model</w:t>
      </w:r>
      <w:r>
        <w:t>s</w:t>
      </w:r>
      <w:r w:rsidR="00371A70">
        <w:t>. Funded by New Hanover County, NC.</w:t>
      </w:r>
      <w:r w:rsidR="00486362">
        <w:t xml:space="preserve"> </w:t>
      </w:r>
    </w:p>
    <w:p w14:paraId="20ABBBB2" w14:textId="77777777" w:rsidR="00122932" w:rsidRDefault="00371A70" w:rsidP="000C5403">
      <w:pPr>
        <w:pStyle w:val="NormalWeb"/>
      </w:pPr>
      <w:r>
        <w:t xml:space="preserve">Our project has been included in </w:t>
      </w:r>
      <w:r w:rsidR="00122932">
        <w:t xml:space="preserve">the </w:t>
      </w:r>
      <w:r>
        <w:t xml:space="preserve">NOAA NIDIS </w:t>
      </w:r>
      <w:r w:rsidR="00122932">
        <w:t>Coastal Carolinas Drought Early Warning System Draft Strategic Plan docu</w:t>
      </w:r>
      <w:r w:rsidR="00630893">
        <w:t xml:space="preserve">ment </w:t>
      </w:r>
      <w:r w:rsidR="00122932">
        <w:t xml:space="preserve">(page 25-26). </w:t>
      </w:r>
    </w:p>
    <w:p w14:paraId="774C7114" w14:textId="77777777" w:rsidR="00122932" w:rsidRDefault="00122932" w:rsidP="00921634">
      <w:pPr>
        <w:pStyle w:val="NormalWeb"/>
        <w:spacing w:after="0" w:afterAutospacing="0"/>
        <w:rPr>
          <w:rStyle w:val="Strong"/>
        </w:rPr>
      </w:pPr>
    </w:p>
    <w:p w14:paraId="4A9B0F2A" w14:textId="77777777" w:rsidR="00921634" w:rsidRDefault="000D6242" w:rsidP="00921634">
      <w:pPr>
        <w:pStyle w:val="NormalWeb"/>
        <w:spacing w:after="0" w:afterAutospacing="0"/>
        <w:rPr>
          <w:b/>
        </w:rPr>
      </w:pPr>
      <w:r>
        <w:rPr>
          <w:rStyle w:val="Strong"/>
        </w:rPr>
        <w:t xml:space="preserve">(4) </w:t>
      </w:r>
      <w:r w:rsidRPr="000D6242">
        <w:rPr>
          <w:b/>
        </w:rPr>
        <w:t>Report Products, Bibliographic Update, Data Releases, and Groundwater-Model Archives</w:t>
      </w:r>
    </w:p>
    <w:p w14:paraId="39A1A4AF" w14:textId="77777777" w:rsidR="00A70BEF" w:rsidRDefault="00403455" w:rsidP="00921634">
      <w:pPr>
        <w:pStyle w:val="NormalWeb"/>
        <w:spacing w:after="0" w:afterAutospacing="0"/>
      </w:pPr>
      <w:r>
        <w:t>None to report in FY17</w:t>
      </w:r>
      <w:r w:rsidR="000A4E2F">
        <w:t>.</w:t>
      </w:r>
    </w:p>
    <w:p w14:paraId="0937B308" w14:textId="77777777" w:rsidR="006656CD" w:rsidRPr="00630893" w:rsidRDefault="006656CD" w:rsidP="00921634">
      <w:pPr>
        <w:pStyle w:val="NormalWeb"/>
        <w:spacing w:after="0" w:afterAutospacing="0"/>
        <w:rPr>
          <w:rStyle w:val="Strong"/>
        </w:rPr>
      </w:pPr>
    </w:p>
    <w:p w14:paraId="38DBEB23" w14:textId="77777777" w:rsidR="00D54A08" w:rsidRDefault="00630893" w:rsidP="00AA4C60">
      <w:pPr>
        <w:pStyle w:val="NormalWeb"/>
      </w:pPr>
      <w:r>
        <w:rPr>
          <w:rStyle w:val="Strong"/>
        </w:rPr>
        <w:t>(5</w:t>
      </w:r>
      <w:r w:rsidR="00D54F3C">
        <w:rPr>
          <w:rStyle w:val="Strong"/>
        </w:rPr>
        <w:t xml:space="preserve">) </w:t>
      </w:r>
      <w:r w:rsidR="00E876A9">
        <w:rPr>
          <w:rStyle w:val="Strong"/>
        </w:rPr>
        <w:t>PROJECT</w:t>
      </w:r>
      <w:r w:rsidR="00D54F3C">
        <w:rPr>
          <w:rStyle w:val="Strong"/>
        </w:rPr>
        <w:t xml:space="preserve"> TEAM DIRECTORY </w:t>
      </w:r>
      <w:r w:rsidR="00D54A08">
        <w:t>–</w:t>
      </w:r>
      <w:r w:rsidR="00D54F3C">
        <w:t xml:space="preserve"> </w:t>
      </w:r>
    </w:p>
    <w:p w14:paraId="67D85E27" w14:textId="77777777" w:rsidR="008455E3" w:rsidRDefault="008455E3" w:rsidP="00E0765E">
      <w:pPr>
        <w:pStyle w:val="NormalWeb"/>
        <w:numPr>
          <w:ilvl w:val="0"/>
          <w:numId w:val="26"/>
        </w:numPr>
        <w:spacing w:after="120" w:afterAutospacing="0"/>
      </w:pPr>
      <w:r w:rsidRPr="008455E3">
        <w:t>Chad Wagner</w:t>
      </w:r>
      <w:r>
        <w:t xml:space="preserve"> </w:t>
      </w:r>
      <w:r w:rsidRPr="008455E3">
        <w:t>(</w:t>
      </w:r>
      <w:r>
        <w:t xml:space="preserve">Associate Director, South Atlantic Water Science Center, Raleigh, NC; 919-571-4021; </w:t>
      </w:r>
      <w:hyperlink r:id="rId8" w:history="1">
        <w:r w:rsidRPr="00DD014B">
          <w:rPr>
            <w:rStyle w:val="Hyperlink"/>
          </w:rPr>
          <w:t>cwagner@usgs.gov</w:t>
        </w:r>
      </w:hyperlink>
      <w:r>
        <w:t>; Project manager</w:t>
      </w:r>
      <w:r w:rsidR="0096304A">
        <w:t>)</w:t>
      </w:r>
      <w:r w:rsidRPr="008455E3">
        <w:t xml:space="preserve"> </w:t>
      </w:r>
    </w:p>
    <w:p w14:paraId="72A0E019" w14:textId="77777777" w:rsidR="00E0765E" w:rsidRDefault="00E0765E" w:rsidP="0096304A">
      <w:pPr>
        <w:pStyle w:val="NormalWeb"/>
        <w:numPr>
          <w:ilvl w:val="0"/>
          <w:numId w:val="26"/>
        </w:numPr>
        <w:spacing w:after="120" w:afterAutospacing="0"/>
      </w:pPr>
      <w:r>
        <w:t xml:space="preserve">Georgina Sanchez (PhD candidate, Center for Geospatial Analysis, NC State University, Raleigh, NC; </w:t>
      </w:r>
      <w:r w:rsidR="0096304A">
        <w:t xml:space="preserve">(517) 755 – 0264; </w:t>
      </w:r>
      <w:hyperlink r:id="rId9" w:history="1">
        <w:r w:rsidR="0096304A" w:rsidRPr="00DD014B">
          <w:rPr>
            <w:rStyle w:val="Hyperlink"/>
          </w:rPr>
          <w:t>gmsanche@ncsu.edu</w:t>
        </w:r>
      </w:hyperlink>
      <w:r w:rsidR="0096304A">
        <w:t>; Land-use change modeling)</w:t>
      </w:r>
    </w:p>
    <w:p w14:paraId="20C2086F" w14:textId="77777777" w:rsidR="0096304A" w:rsidRDefault="0096304A" w:rsidP="0096304A">
      <w:pPr>
        <w:pStyle w:val="NormalWeb"/>
        <w:numPr>
          <w:ilvl w:val="0"/>
          <w:numId w:val="26"/>
        </w:numPr>
        <w:spacing w:after="120" w:afterAutospacing="0"/>
      </w:pPr>
      <w:r>
        <w:t>Adam Terando (Research Ecologist, USGS Southeast Climate Science Center, Raleigh, NC; 919-515-</w:t>
      </w:r>
      <w:r w:rsidRPr="0096304A">
        <w:t>4448</w:t>
      </w:r>
      <w:r>
        <w:t xml:space="preserve">; </w:t>
      </w:r>
      <w:hyperlink r:id="rId10" w:history="1">
        <w:r w:rsidRPr="00DD014B">
          <w:rPr>
            <w:rStyle w:val="Hyperlink"/>
          </w:rPr>
          <w:t>aterando@usgs.gov</w:t>
        </w:r>
      </w:hyperlink>
      <w:r>
        <w:t>; Climate-change modeling and data)</w:t>
      </w:r>
    </w:p>
    <w:p w14:paraId="4ECA4CC9" w14:textId="77777777" w:rsidR="00E0765E" w:rsidRDefault="00E0765E" w:rsidP="00E0765E">
      <w:pPr>
        <w:pStyle w:val="NormalWeb"/>
        <w:numPr>
          <w:ilvl w:val="0"/>
          <w:numId w:val="26"/>
        </w:numPr>
        <w:spacing w:after="120" w:afterAutospacing="0"/>
      </w:pPr>
      <w:r w:rsidRPr="008455E3">
        <w:t>Doug Smith</w:t>
      </w:r>
      <w:r>
        <w:t xml:space="preserve"> (Hydrologist</w:t>
      </w:r>
      <w:r w:rsidRPr="008455E3">
        <w:t>, South Atlantic Water Science C</w:t>
      </w:r>
      <w:r>
        <w:t>enter, Raleigh, NC; 919-571-4011</w:t>
      </w:r>
      <w:r w:rsidRPr="008455E3">
        <w:t xml:space="preserve">; </w:t>
      </w:r>
      <w:hyperlink r:id="rId11" w:history="1">
        <w:r w:rsidRPr="00DD014B">
          <w:rPr>
            <w:rStyle w:val="Hyperlink"/>
          </w:rPr>
          <w:t>dgsmith@usgs.gov</w:t>
        </w:r>
      </w:hyperlink>
      <w:r>
        <w:t>; Water-use)</w:t>
      </w:r>
    </w:p>
    <w:p w14:paraId="41F09948" w14:textId="77777777" w:rsidR="00E0765E" w:rsidRDefault="00E0765E" w:rsidP="00E0765E">
      <w:pPr>
        <w:pStyle w:val="NormalWeb"/>
        <w:numPr>
          <w:ilvl w:val="0"/>
          <w:numId w:val="26"/>
        </w:numPr>
        <w:spacing w:after="120" w:afterAutospacing="0"/>
      </w:pPr>
      <w:r w:rsidRPr="008455E3">
        <w:t>Fred Falls</w:t>
      </w:r>
      <w:r>
        <w:t xml:space="preserve"> </w:t>
      </w:r>
      <w:r w:rsidRPr="008455E3">
        <w:t>(</w:t>
      </w:r>
      <w:r>
        <w:t>Hydrologist</w:t>
      </w:r>
      <w:r w:rsidRPr="00BE3498">
        <w:t xml:space="preserve">, South Atlantic Water Science Center, Columbia, SC; 803-750-6130; </w:t>
      </w:r>
      <w:hyperlink r:id="rId12" w:history="1">
        <w:r w:rsidRPr="00DD014B">
          <w:rPr>
            <w:rStyle w:val="Hyperlink"/>
          </w:rPr>
          <w:t>wffalls@usgs.gov</w:t>
        </w:r>
      </w:hyperlink>
      <w:r>
        <w:t>; W</w:t>
      </w:r>
      <w:r w:rsidRPr="008455E3">
        <w:t xml:space="preserve">ater-use); </w:t>
      </w:r>
    </w:p>
    <w:p w14:paraId="463525F7" w14:textId="77777777" w:rsidR="00E0765E" w:rsidRDefault="00E0765E" w:rsidP="00E0765E">
      <w:pPr>
        <w:pStyle w:val="NormalWeb"/>
        <w:numPr>
          <w:ilvl w:val="0"/>
          <w:numId w:val="26"/>
        </w:numPr>
        <w:spacing w:after="120" w:afterAutospacing="0"/>
      </w:pPr>
      <w:r>
        <w:t>Jaime Painter (Hydrologist</w:t>
      </w:r>
      <w:r w:rsidRPr="008455E3">
        <w:t>, South Atlantic Water Science C</w:t>
      </w:r>
      <w:r>
        <w:t xml:space="preserve">enter, Norcross, GA; </w:t>
      </w:r>
      <w:r w:rsidRPr="00BE3498">
        <w:t>678-924-6676</w:t>
      </w:r>
      <w:r w:rsidRPr="008455E3">
        <w:t xml:space="preserve">; </w:t>
      </w:r>
      <w:hyperlink r:id="rId13" w:history="1">
        <w:r w:rsidRPr="00DD014B">
          <w:rPr>
            <w:rStyle w:val="Hyperlink"/>
          </w:rPr>
          <w:t>jpainter@usgs.gov</w:t>
        </w:r>
      </w:hyperlink>
      <w:r>
        <w:t>; Water-use and GIS)</w:t>
      </w:r>
    </w:p>
    <w:p w14:paraId="7FFE4127" w14:textId="77777777" w:rsidR="00BE3498" w:rsidRDefault="008455E3" w:rsidP="00E0765E">
      <w:pPr>
        <w:pStyle w:val="NormalWeb"/>
        <w:numPr>
          <w:ilvl w:val="0"/>
          <w:numId w:val="26"/>
        </w:numPr>
        <w:spacing w:after="120" w:afterAutospacing="0"/>
      </w:pPr>
      <w:r w:rsidRPr="008455E3">
        <w:t>Ana Maria Garcia</w:t>
      </w:r>
      <w:r w:rsidR="00BE3498">
        <w:t xml:space="preserve"> </w:t>
      </w:r>
      <w:r w:rsidRPr="008455E3">
        <w:t>(</w:t>
      </w:r>
      <w:r>
        <w:t xml:space="preserve">Research </w:t>
      </w:r>
      <w:r w:rsidRPr="008455E3">
        <w:t>Hydrologist, South Atlantic Water Science C</w:t>
      </w:r>
      <w:r>
        <w:t>enter, Raleigh, NC; 919-571-40</w:t>
      </w:r>
      <w:r w:rsidR="00BE3498">
        <w:t>58</w:t>
      </w:r>
      <w:r w:rsidRPr="008455E3">
        <w:t xml:space="preserve">; </w:t>
      </w:r>
      <w:hyperlink r:id="rId14" w:history="1">
        <w:r w:rsidRPr="00DD014B">
          <w:rPr>
            <w:rStyle w:val="Hyperlink"/>
          </w:rPr>
          <w:t>agarcia@usgs.gov</w:t>
        </w:r>
      </w:hyperlink>
      <w:r>
        <w:t>; Surface-</w:t>
      </w:r>
      <w:r w:rsidRPr="008455E3">
        <w:t>water modeling)</w:t>
      </w:r>
    </w:p>
    <w:p w14:paraId="58167FDC" w14:textId="77777777" w:rsidR="008455E3" w:rsidRDefault="00BE3498" w:rsidP="00E0765E">
      <w:pPr>
        <w:pStyle w:val="NormalWeb"/>
        <w:numPr>
          <w:ilvl w:val="0"/>
          <w:numId w:val="26"/>
        </w:numPr>
        <w:spacing w:after="120" w:afterAutospacing="0"/>
      </w:pPr>
      <w:r>
        <w:t xml:space="preserve">Laura Gurley </w:t>
      </w:r>
      <w:r w:rsidRPr="008455E3">
        <w:t>(Hydrologist, South Atlantic Water Science C</w:t>
      </w:r>
      <w:r>
        <w:t>enter, Raleigh, NC; 919-571-4014</w:t>
      </w:r>
      <w:r w:rsidRPr="008455E3">
        <w:t xml:space="preserve">; </w:t>
      </w:r>
      <w:hyperlink r:id="rId15" w:history="1">
        <w:r w:rsidRPr="00DD014B">
          <w:rPr>
            <w:rStyle w:val="Hyperlink"/>
          </w:rPr>
          <w:t>lgurley@usgs.gov</w:t>
        </w:r>
      </w:hyperlink>
      <w:r>
        <w:t>; Surface-</w:t>
      </w:r>
      <w:r w:rsidRPr="008455E3">
        <w:t xml:space="preserve">water modeling) </w:t>
      </w:r>
      <w:r w:rsidR="008455E3" w:rsidRPr="008455E3">
        <w:t xml:space="preserve"> </w:t>
      </w:r>
    </w:p>
    <w:p w14:paraId="7233FD26" w14:textId="77777777" w:rsidR="00BE3498" w:rsidRDefault="00BE3498" w:rsidP="00E0765E">
      <w:pPr>
        <w:pStyle w:val="NormalWeb"/>
        <w:numPr>
          <w:ilvl w:val="0"/>
          <w:numId w:val="26"/>
        </w:numPr>
        <w:spacing w:after="120" w:afterAutospacing="0"/>
      </w:pPr>
      <w:r w:rsidRPr="008455E3">
        <w:t>Paul Conrads</w:t>
      </w:r>
      <w:r>
        <w:t xml:space="preserve"> </w:t>
      </w:r>
      <w:r w:rsidRPr="008455E3">
        <w:t>(</w:t>
      </w:r>
      <w:r>
        <w:t>Hydrologist</w:t>
      </w:r>
      <w:r w:rsidRPr="00BE3498">
        <w:t xml:space="preserve">, South Atlantic Water Science Center, Columbia, SC; 803-750-6140; pconrads@usgs.gov; </w:t>
      </w:r>
      <w:r w:rsidRPr="008455E3">
        <w:t xml:space="preserve">SW salinity modeling/ DSS); </w:t>
      </w:r>
    </w:p>
    <w:p w14:paraId="4F83A007" w14:textId="77777777" w:rsidR="00BE3498" w:rsidRDefault="008455E3" w:rsidP="00E0765E">
      <w:pPr>
        <w:pStyle w:val="NormalWeb"/>
        <w:numPr>
          <w:ilvl w:val="0"/>
          <w:numId w:val="26"/>
        </w:numPr>
        <w:spacing w:after="120" w:afterAutospacing="0"/>
      </w:pPr>
      <w:r w:rsidRPr="008455E3">
        <w:t>Tom Cuffney</w:t>
      </w:r>
      <w:r w:rsidR="00BE3498">
        <w:t xml:space="preserve"> (</w:t>
      </w:r>
      <w:r w:rsidR="00E0765E">
        <w:t>Research Ecologist - NDAA</w:t>
      </w:r>
      <w:r w:rsidR="00BE3498" w:rsidRPr="008455E3">
        <w:t>, South Atlantic Water Science C</w:t>
      </w:r>
      <w:r w:rsidR="00BE3498">
        <w:t>enter, Raleigh, NC; 919-571-4019</w:t>
      </w:r>
      <w:r w:rsidR="00BE3498" w:rsidRPr="008455E3">
        <w:t xml:space="preserve">; </w:t>
      </w:r>
      <w:hyperlink r:id="rId16" w:history="1">
        <w:r w:rsidR="00BE3498" w:rsidRPr="00DD014B">
          <w:rPr>
            <w:rStyle w:val="Hyperlink"/>
          </w:rPr>
          <w:t>tcuffney@usgs.gov</w:t>
        </w:r>
      </w:hyperlink>
      <w:r w:rsidR="00BE3498">
        <w:t>; E</w:t>
      </w:r>
      <w:r w:rsidR="00BE3498" w:rsidRPr="008455E3">
        <w:t>cologic</w:t>
      </w:r>
      <w:r w:rsidR="0096304A">
        <w:t>-</w:t>
      </w:r>
      <w:r w:rsidR="00BE3498" w:rsidRPr="008455E3">
        <w:t>response modeling</w:t>
      </w:r>
      <w:r w:rsidR="00BE3498">
        <w:t>)</w:t>
      </w:r>
    </w:p>
    <w:p w14:paraId="079F04E3" w14:textId="77777777" w:rsidR="00BE3498" w:rsidRDefault="00BE3498" w:rsidP="00E0765E">
      <w:pPr>
        <w:pStyle w:val="NormalWeb"/>
        <w:numPr>
          <w:ilvl w:val="0"/>
          <w:numId w:val="26"/>
        </w:numPr>
        <w:spacing w:after="120" w:afterAutospacing="0"/>
      </w:pPr>
      <w:r>
        <w:t>Jason May (</w:t>
      </w:r>
      <w:r w:rsidR="00E0765E">
        <w:t>Biologist</w:t>
      </w:r>
      <w:r w:rsidRPr="008455E3">
        <w:t xml:space="preserve">, </w:t>
      </w:r>
      <w:r>
        <w:t>California</w:t>
      </w:r>
      <w:r w:rsidRPr="008455E3">
        <w:t xml:space="preserve"> Water Science C</w:t>
      </w:r>
      <w:r>
        <w:t xml:space="preserve">enter, Sacramento, CA; </w:t>
      </w:r>
      <w:r w:rsidRPr="00BE3498">
        <w:t>916-278-3079</w:t>
      </w:r>
      <w:r w:rsidRPr="008455E3">
        <w:t xml:space="preserve">; </w:t>
      </w:r>
      <w:hyperlink r:id="rId17" w:history="1">
        <w:r w:rsidRPr="00DD014B">
          <w:rPr>
            <w:rStyle w:val="Hyperlink"/>
          </w:rPr>
          <w:t>jasonmay@usgs.gov</w:t>
        </w:r>
      </w:hyperlink>
      <w:r>
        <w:t>; E</w:t>
      </w:r>
      <w:r w:rsidR="00E0765E">
        <w:t>cologic-</w:t>
      </w:r>
      <w:r w:rsidRPr="008455E3">
        <w:t>response modeling</w:t>
      </w:r>
      <w:r>
        <w:t>)</w:t>
      </w:r>
    </w:p>
    <w:p w14:paraId="7A8B31DB" w14:textId="77777777" w:rsidR="00BE3498" w:rsidRDefault="008455E3" w:rsidP="00E0765E">
      <w:pPr>
        <w:pStyle w:val="NormalWeb"/>
        <w:numPr>
          <w:ilvl w:val="0"/>
          <w:numId w:val="26"/>
        </w:numPr>
        <w:spacing w:after="120" w:afterAutospacing="0"/>
      </w:pPr>
      <w:r w:rsidRPr="008455E3">
        <w:t>Rodney Knight</w:t>
      </w:r>
      <w:r w:rsidR="00BE3498">
        <w:t xml:space="preserve"> (Hydrologist</w:t>
      </w:r>
      <w:r w:rsidR="00BE3498" w:rsidRPr="008455E3">
        <w:t xml:space="preserve">, </w:t>
      </w:r>
      <w:r w:rsidR="00BE3498">
        <w:t>L</w:t>
      </w:r>
      <w:r w:rsidR="0096304A">
        <w:t>ower Mississippi-</w:t>
      </w:r>
      <w:r w:rsidR="00BE3498">
        <w:t>Gulf</w:t>
      </w:r>
      <w:r w:rsidR="00BE3498" w:rsidRPr="008455E3">
        <w:t xml:space="preserve"> Water Science C</w:t>
      </w:r>
      <w:r w:rsidR="00BE3498">
        <w:t xml:space="preserve">enter, Nashville, TN; </w:t>
      </w:r>
      <w:r w:rsidR="00BE3498" w:rsidRPr="00BE3498">
        <w:t>615-837-4731</w:t>
      </w:r>
      <w:r w:rsidR="00BE3498" w:rsidRPr="008455E3">
        <w:t xml:space="preserve">; </w:t>
      </w:r>
      <w:hyperlink r:id="rId18" w:history="1">
        <w:r w:rsidR="00BE3498" w:rsidRPr="00DD014B">
          <w:rPr>
            <w:rStyle w:val="Hyperlink"/>
          </w:rPr>
          <w:t>rrknight@usgs.gov</w:t>
        </w:r>
      </w:hyperlink>
      <w:r w:rsidR="00BE3498">
        <w:t>; E</w:t>
      </w:r>
      <w:r w:rsidR="00BE3498" w:rsidRPr="008455E3">
        <w:t>cologic response modeling</w:t>
      </w:r>
      <w:r w:rsidR="00BE3498">
        <w:t>)</w:t>
      </w:r>
    </w:p>
    <w:p w14:paraId="4904A401" w14:textId="77777777" w:rsidR="008455E3" w:rsidRDefault="008455E3" w:rsidP="0096304A">
      <w:pPr>
        <w:pStyle w:val="NormalWeb"/>
        <w:numPr>
          <w:ilvl w:val="0"/>
          <w:numId w:val="26"/>
        </w:numPr>
        <w:spacing w:after="120" w:afterAutospacing="0"/>
      </w:pPr>
      <w:r w:rsidRPr="008455E3">
        <w:t>Mary Freeman</w:t>
      </w:r>
      <w:r w:rsidR="00E0765E">
        <w:t xml:space="preserve"> </w:t>
      </w:r>
      <w:r w:rsidRPr="008455E3">
        <w:t>(</w:t>
      </w:r>
      <w:r w:rsidR="00E0765E">
        <w:t>Research Ecologist</w:t>
      </w:r>
      <w:r w:rsidR="00E0765E" w:rsidRPr="008455E3">
        <w:t xml:space="preserve">, </w:t>
      </w:r>
      <w:r w:rsidR="0096304A" w:rsidRPr="0096304A">
        <w:t>USGS Pa</w:t>
      </w:r>
      <w:r w:rsidR="0096304A">
        <w:t xml:space="preserve">tuxent Wildlife Research Center, </w:t>
      </w:r>
      <w:r w:rsidR="00E0765E">
        <w:t xml:space="preserve">Athens, GA; </w:t>
      </w:r>
      <w:r w:rsidR="00E0765E" w:rsidRPr="00E0765E">
        <w:t>706-583-0978</w:t>
      </w:r>
      <w:r w:rsidR="00E0765E" w:rsidRPr="008455E3">
        <w:t xml:space="preserve">; </w:t>
      </w:r>
      <w:hyperlink r:id="rId19" w:history="1">
        <w:r w:rsidR="00E0765E" w:rsidRPr="00DD014B">
          <w:rPr>
            <w:rStyle w:val="Hyperlink"/>
          </w:rPr>
          <w:t>mcfreeman@usgs.gov</w:t>
        </w:r>
      </w:hyperlink>
      <w:r w:rsidR="00E0765E">
        <w:t>; Ecologic-</w:t>
      </w:r>
      <w:r w:rsidRPr="008455E3">
        <w:t>response modeling)</w:t>
      </w:r>
    </w:p>
    <w:p w14:paraId="525A5E03" w14:textId="59E1B7E3" w:rsidR="005936C1" w:rsidRDefault="005936C1" w:rsidP="0096304A">
      <w:pPr>
        <w:pStyle w:val="NormalWeb"/>
        <w:numPr>
          <w:ilvl w:val="0"/>
          <w:numId w:val="26"/>
        </w:numPr>
        <w:spacing w:after="120" w:afterAutospacing="0"/>
      </w:pPr>
      <w:r>
        <w:t xml:space="preserve">Song Qian (Professor, University of Toledo, Department of Environmental Sciences, Toledo, OH; 419-530-4230; </w:t>
      </w:r>
      <w:hyperlink r:id="rId20" w:history="1">
        <w:r w:rsidRPr="00323F7C">
          <w:rPr>
            <w:rStyle w:val="Hyperlink"/>
          </w:rPr>
          <w:t>song.qian@utoledo.edu</w:t>
        </w:r>
      </w:hyperlink>
      <w:r>
        <w:t>; Ecologic-response modeling)</w:t>
      </w:r>
    </w:p>
    <w:p w14:paraId="5214A788" w14:textId="77777777" w:rsidR="00E0765E" w:rsidRDefault="00E0765E" w:rsidP="00E0765E">
      <w:pPr>
        <w:pStyle w:val="NormalWeb"/>
        <w:numPr>
          <w:ilvl w:val="0"/>
          <w:numId w:val="26"/>
        </w:numPr>
        <w:spacing w:after="120" w:afterAutospacing="0"/>
      </w:pPr>
      <w:r w:rsidRPr="008455E3">
        <w:t>Bruce Campbell</w:t>
      </w:r>
      <w:r>
        <w:t xml:space="preserve"> (Groundwater Specialist, </w:t>
      </w:r>
      <w:r w:rsidRPr="008455E3">
        <w:t>South Atlant</w:t>
      </w:r>
      <w:r>
        <w:t>ic Water Science Center, Columbia, SC</w:t>
      </w:r>
      <w:r w:rsidRPr="008455E3">
        <w:t xml:space="preserve">; 803-750-6161; </w:t>
      </w:r>
      <w:hyperlink r:id="rId21" w:history="1">
        <w:r w:rsidRPr="00DD014B">
          <w:rPr>
            <w:rStyle w:val="Hyperlink"/>
          </w:rPr>
          <w:t>bcampbel@usgs.gov</w:t>
        </w:r>
      </w:hyperlink>
      <w:r>
        <w:t>; Groundwater modeling)</w:t>
      </w:r>
    </w:p>
    <w:p w14:paraId="7D6BFF31" w14:textId="77777777" w:rsidR="00E0765E" w:rsidRDefault="00E0765E" w:rsidP="00E0765E">
      <w:pPr>
        <w:pStyle w:val="NormalWeb"/>
        <w:numPr>
          <w:ilvl w:val="0"/>
          <w:numId w:val="26"/>
        </w:numPr>
        <w:spacing w:after="120" w:afterAutospacing="0"/>
      </w:pPr>
      <w:r w:rsidRPr="008455E3">
        <w:t>Jason Fine</w:t>
      </w:r>
      <w:r>
        <w:t xml:space="preserve"> </w:t>
      </w:r>
      <w:r w:rsidRPr="008455E3">
        <w:t>(</w:t>
      </w:r>
      <w:r>
        <w:t>Hydrologist</w:t>
      </w:r>
      <w:r w:rsidRPr="008455E3">
        <w:t>, South Atlantic Water Science C</w:t>
      </w:r>
      <w:r>
        <w:t>enter, Raleigh, NC; 919-571-4034</w:t>
      </w:r>
      <w:r w:rsidRPr="008455E3">
        <w:t xml:space="preserve">; </w:t>
      </w:r>
      <w:hyperlink r:id="rId22" w:history="1">
        <w:r w:rsidRPr="00DD014B">
          <w:rPr>
            <w:rStyle w:val="Hyperlink"/>
          </w:rPr>
          <w:t>jmfine@usgs.gov</w:t>
        </w:r>
      </w:hyperlink>
      <w:r>
        <w:t xml:space="preserve">; </w:t>
      </w:r>
      <w:r w:rsidRPr="008455E3">
        <w:t>G</w:t>
      </w:r>
      <w:r>
        <w:t xml:space="preserve">roundwater </w:t>
      </w:r>
      <w:r w:rsidRPr="008455E3">
        <w:t xml:space="preserve">modeling); </w:t>
      </w:r>
    </w:p>
    <w:p w14:paraId="332A057F" w14:textId="77777777" w:rsidR="00E0765E" w:rsidRDefault="00E0765E" w:rsidP="00E0765E">
      <w:pPr>
        <w:pStyle w:val="NormalWeb"/>
        <w:numPr>
          <w:ilvl w:val="0"/>
          <w:numId w:val="26"/>
        </w:numPr>
        <w:spacing w:after="120" w:afterAutospacing="0"/>
      </w:pPr>
      <w:r>
        <w:t>Greg Cherry (Hydrologist</w:t>
      </w:r>
      <w:r w:rsidRPr="008455E3">
        <w:t>, South Atlantic Water Science C</w:t>
      </w:r>
      <w:r>
        <w:t xml:space="preserve">enter, Norcross, GA; </w:t>
      </w:r>
      <w:r w:rsidRPr="00E0765E">
        <w:t>678-924-6632</w:t>
      </w:r>
      <w:r w:rsidRPr="008455E3">
        <w:t xml:space="preserve">; </w:t>
      </w:r>
      <w:hyperlink r:id="rId23" w:history="1">
        <w:r w:rsidRPr="00DD014B">
          <w:rPr>
            <w:rStyle w:val="Hyperlink"/>
          </w:rPr>
          <w:t>gccherry@usgs.gov</w:t>
        </w:r>
      </w:hyperlink>
      <w:r>
        <w:t xml:space="preserve">; </w:t>
      </w:r>
      <w:r w:rsidRPr="008455E3">
        <w:t>G</w:t>
      </w:r>
      <w:r>
        <w:t xml:space="preserve">roundwater </w:t>
      </w:r>
      <w:r w:rsidRPr="008455E3">
        <w:t>modeling</w:t>
      </w:r>
      <w:r>
        <w:t>)</w:t>
      </w:r>
    </w:p>
    <w:p w14:paraId="6E219500" w14:textId="77777777" w:rsidR="00E0765E" w:rsidRDefault="00E0765E" w:rsidP="00E0765E">
      <w:pPr>
        <w:pStyle w:val="NormalWeb"/>
        <w:spacing w:after="120" w:afterAutospacing="0"/>
        <w:ind w:left="360"/>
      </w:pPr>
    </w:p>
    <w:p w14:paraId="7D932E17" w14:textId="77777777" w:rsidR="00F71C0A" w:rsidRDefault="00F71C0A" w:rsidP="00E0765E">
      <w:pPr>
        <w:pStyle w:val="NormalWeb"/>
        <w:spacing w:after="120" w:afterAutospacing="0"/>
        <w:ind w:left="360"/>
      </w:pPr>
    </w:p>
    <w:p w14:paraId="125C3034" w14:textId="77777777" w:rsidR="00F71C0A" w:rsidRDefault="00F71C0A" w:rsidP="00E0765E">
      <w:pPr>
        <w:pStyle w:val="NormalWeb"/>
        <w:spacing w:after="120" w:afterAutospacing="0"/>
        <w:ind w:left="360"/>
      </w:pPr>
    </w:p>
    <w:p w14:paraId="195E263A" w14:textId="77777777" w:rsidR="00E93739" w:rsidRDefault="00630893" w:rsidP="00AA4C60">
      <w:pPr>
        <w:pStyle w:val="NormalWeb"/>
        <w:rPr>
          <w:b/>
        </w:rPr>
      </w:pPr>
      <w:r>
        <w:rPr>
          <w:b/>
        </w:rPr>
        <w:t>(6</w:t>
      </w:r>
      <w:r w:rsidR="00BE53F9" w:rsidRPr="002003A2">
        <w:rPr>
          <w:b/>
        </w:rPr>
        <w:t>)</w:t>
      </w:r>
      <w:r w:rsidR="00BE53F9">
        <w:t xml:space="preserve"> </w:t>
      </w:r>
      <w:r w:rsidR="00417943">
        <w:rPr>
          <w:b/>
        </w:rPr>
        <w:t xml:space="preserve">PHOTOS, ANIMATIONS, </w:t>
      </w:r>
      <w:r w:rsidR="00EC4B81">
        <w:rPr>
          <w:b/>
        </w:rPr>
        <w:t xml:space="preserve">AND </w:t>
      </w:r>
      <w:r w:rsidR="002003A2">
        <w:rPr>
          <w:b/>
        </w:rPr>
        <w:t>GRAPHICS</w:t>
      </w:r>
    </w:p>
    <w:p w14:paraId="4BED310C" w14:textId="77777777" w:rsidR="00E0765E" w:rsidRDefault="000B510E" w:rsidP="00AA4C60">
      <w:pPr>
        <w:pStyle w:val="NormalWeb"/>
      </w:pPr>
      <w:r>
        <w:t>We have animations of simulated land-use changes (urban growth) for the focus area that can be provided. A static image of the area around Conway, SC is included below for reference.</w:t>
      </w:r>
    </w:p>
    <w:p w14:paraId="657F791E" w14:textId="77777777" w:rsidR="00403455" w:rsidRPr="00E0765E" w:rsidRDefault="002C3B01" w:rsidP="00AA4C60">
      <w:pPr>
        <w:pStyle w:val="NormalWeb"/>
      </w:pPr>
      <w:r>
        <w:rPr>
          <w:noProof/>
        </w:rPr>
        <w:drawing>
          <wp:inline distT="0" distB="0" distL="0" distR="0" wp14:anchorId="665652FB" wp14:editId="18BA5448">
            <wp:extent cx="4572635" cy="3523615"/>
            <wp:effectExtent l="0" t="0" r="0" b="63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4572635" cy="3523615"/>
                    </a:xfrm>
                    <a:prstGeom prst="rect">
                      <a:avLst/>
                    </a:prstGeom>
                    <a:noFill/>
                  </pic:spPr>
                </pic:pic>
              </a:graphicData>
            </a:graphic>
          </wp:inline>
        </w:drawing>
      </w:r>
    </w:p>
    <w:sectPr w:rsidR="00403455" w:rsidRPr="00E0765E">
      <w:footerReference w:type="even" r:id="rId25"/>
      <w:footerReference w:type="default" r:id="rId26"/>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C84EF52" w14:textId="77777777" w:rsidR="00CA7A62" w:rsidRDefault="00CA7A62">
      <w:r>
        <w:separator/>
      </w:r>
    </w:p>
  </w:endnote>
  <w:endnote w:type="continuationSeparator" w:id="0">
    <w:p w14:paraId="491D26B8" w14:textId="77777777" w:rsidR="00CA7A62" w:rsidRDefault="00CA7A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632AFF2" w14:textId="77777777"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948A50" w14:textId="77777777" w:rsidR="007B17A1" w:rsidRDefault="007B17A1" w:rsidP="00B31EE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F69F7F" w14:textId="77777777" w:rsidR="007B17A1" w:rsidRDefault="007B17A1" w:rsidP="00385D2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76A93">
      <w:rPr>
        <w:rStyle w:val="PageNumber"/>
        <w:noProof/>
      </w:rPr>
      <w:t>1</w:t>
    </w:r>
    <w:r>
      <w:rPr>
        <w:rStyle w:val="PageNumber"/>
      </w:rPr>
      <w:fldChar w:fldCharType="end"/>
    </w:r>
  </w:p>
  <w:p w14:paraId="0751BF5B" w14:textId="77777777" w:rsidR="007B17A1" w:rsidRDefault="007B17A1" w:rsidP="00B31EE5">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929876" w14:textId="77777777" w:rsidR="00CA7A62" w:rsidRDefault="00CA7A62">
      <w:r>
        <w:separator/>
      </w:r>
    </w:p>
  </w:footnote>
  <w:footnote w:type="continuationSeparator" w:id="0">
    <w:p w14:paraId="7733AC40" w14:textId="77777777" w:rsidR="00CA7A62" w:rsidRDefault="00CA7A6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0613C6"/>
    <w:multiLevelType w:val="hybridMultilevel"/>
    <w:tmpl w:val="96F0F65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5F66DD8"/>
    <w:multiLevelType w:val="hybridMultilevel"/>
    <w:tmpl w:val="877E6EF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609259E"/>
    <w:multiLevelType w:val="hybridMultilevel"/>
    <w:tmpl w:val="8C7277EA"/>
    <w:lvl w:ilvl="0" w:tplc="0409000F">
      <w:start w:val="1"/>
      <w:numFmt w:val="decimal"/>
      <w:lvlText w:val="%1."/>
      <w:lvlJc w:val="left"/>
      <w:pPr>
        <w:tabs>
          <w:tab w:val="num" w:pos="720"/>
        </w:tabs>
        <w:ind w:left="720"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DB625C7"/>
    <w:multiLevelType w:val="hybridMultilevel"/>
    <w:tmpl w:val="FB7A108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E115E8C"/>
    <w:multiLevelType w:val="hybridMultilevel"/>
    <w:tmpl w:val="D488E17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3C06643"/>
    <w:multiLevelType w:val="hybridMultilevel"/>
    <w:tmpl w:val="A574E0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62C5466"/>
    <w:multiLevelType w:val="hybridMultilevel"/>
    <w:tmpl w:val="39DC16D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91459C4"/>
    <w:multiLevelType w:val="multilevel"/>
    <w:tmpl w:val="B64E5D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1A351BB4"/>
    <w:multiLevelType w:val="hybridMultilevel"/>
    <w:tmpl w:val="DECCE9A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C534BA9"/>
    <w:multiLevelType w:val="hybridMultilevel"/>
    <w:tmpl w:val="C45479B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1DD8187C"/>
    <w:multiLevelType w:val="hybridMultilevel"/>
    <w:tmpl w:val="530087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0626DDF"/>
    <w:multiLevelType w:val="hybridMultilevel"/>
    <w:tmpl w:val="A6CEE02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BD10315"/>
    <w:multiLevelType w:val="hybridMultilevel"/>
    <w:tmpl w:val="DBB6956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3BF323D3"/>
    <w:multiLevelType w:val="multilevel"/>
    <w:tmpl w:val="103AD8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EA1219"/>
    <w:multiLevelType w:val="hybridMultilevel"/>
    <w:tmpl w:val="DE9CAF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27A0809"/>
    <w:multiLevelType w:val="hybridMultilevel"/>
    <w:tmpl w:val="FD1EFE0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476A7FF3"/>
    <w:multiLevelType w:val="hybridMultilevel"/>
    <w:tmpl w:val="CD025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AA56AB0"/>
    <w:multiLevelType w:val="hybridMultilevel"/>
    <w:tmpl w:val="701C52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4CB90983"/>
    <w:multiLevelType w:val="hybridMultilevel"/>
    <w:tmpl w:val="0F5EF8D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56D91741"/>
    <w:multiLevelType w:val="hybridMultilevel"/>
    <w:tmpl w:val="B1A82C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0DA4A1D"/>
    <w:multiLevelType w:val="hybridMultilevel"/>
    <w:tmpl w:val="164CA07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BF3DEF"/>
    <w:multiLevelType w:val="hybridMultilevel"/>
    <w:tmpl w:val="8A86B6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D151A10"/>
    <w:multiLevelType w:val="hybridMultilevel"/>
    <w:tmpl w:val="40709C3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724A5174"/>
    <w:multiLevelType w:val="hybridMultilevel"/>
    <w:tmpl w:val="0E92719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74471260"/>
    <w:multiLevelType w:val="hybridMultilevel"/>
    <w:tmpl w:val="6070064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EF3347"/>
    <w:multiLevelType w:val="hybridMultilevel"/>
    <w:tmpl w:val="DFCC19E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6" w15:restartNumberingAfterBreak="0">
    <w:nsid w:val="7C1345CE"/>
    <w:multiLevelType w:val="hybridMultilevel"/>
    <w:tmpl w:val="6DA003C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7F972134"/>
    <w:multiLevelType w:val="hybridMultilevel"/>
    <w:tmpl w:val="03729348"/>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1"/>
  </w:num>
  <w:num w:numId="2">
    <w:abstractNumId w:val="15"/>
  </w:num>
  <w:num w:numId="3">
    <w:abstractNumId w:val="7"/>
  </w:num>
  <w:num w:numId="4">
    <w:abstractNumId w:val="23"/>
  </w:num>
  <w:num w:numId="5">
    <w:abstractNumId w:val="8"/>
  </w:num>
  <w:num w:numId="6">
    <w:abstractNumId w:val="13"/>
  </w:num>
  <w:num w:numId="7">
    <w:abstractNumId w:val="9"/>
  </w:num>
  <w:num w:numId="8">
    <w:abstractNumId w:val="6"/>
  </w:num>
  <w:num w:numId="9">
    <w:abstractNumId w:val="0"/>
  </w:num>
  <w:num w:numId="10">
    <w:abstractNumId w:val="24"/>
  </w:num>
  <w:num w:numId="11">
    <w:abstractNumId w:val="22"/>
  </w:num>
  <w:num w:numId="12">
    <w:abstractNumId w:val="26"/>
  </w:num>
  <w:num w:numId="13">
    <w:abstractNumId w:val="3"/>
  </w:num>
  <w:num w:numId="14">
    <w:abstractNumId w:val="17"/>
  </w:num>
  <w:num w:numId="15">
    <w:abstractNumId w:val="12"/>
  </w:num>
  <w:num w:numId="16">
    <w:abstractNumId w:val="4"/>
  </w:num>
  <w:num w:numId="17">
    <w:abstractNumId w:val="27"/>
  </w:num>
  <w:num w:numId="18">
    <w:abstractNumId w:val="1"/>
  </w:num>
  <w:num w:numId="19">
    <w:abstractNumId w:val="2"/>
  </w:num>
  <w:num w:numId="20">
    <w:abstractNumId w:val="18"/>
  </w:num>
  <w:num w:numId="21">
    <w:abstractNumId w:val="10"/>
  </w:num>
  <w:num w:numId="22">
    <w:abstractNumId w:val="14"/>
  </w:num>
  <w:num w:numId="23">
    <w:abstractNumId w:val="20"/>
  </w:num>
  <w:num w:numId="24">
    <w:abstractNumId w:val="21"/>
  </w:num>
  <w:num w:numId="25">
    <w:abstractNumId w:val="25"/>
  </w:num>
  <w:num w:numId="26">
    <w:abstractNumId w:val="19"/>
  </w:num>
  <w:num w:numId="27">
    <w:abstractNumId w:val="5"/>
  </w:num>
  <w:num w:numId="2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93B05"/>
    <w:rsid w:val="00001387"/>
    <w:rsid w:val="00016DC1"/>
    <w:rsid w:val="00021675"/>
    <w:rsid w:val="00027918"/>
    <w:rsid w:val="00044E96"/>
    <w:rsid w:val="0005592D"/>
    <w:rsid w:val="0005649D"/>
    <w:rsid w:val="00066FFC"/>
    <w:rsid w:val="000730BC"/>
    <w:rsid w:val="000803A0"/>
    <w:rsid w:val="0008768A"/>
    <w:rsid w:val="000922C6"/>
    <w:rsid w:val="000A4992"/>
    <w:rsid w:val="000A4E2F"/>
    <w:rsid w:val="000B510E"/>
    <w:rsid w:val="000C03E9"/>
    <w:rsid w:val="000C5403"/>
    <w:rsid w:val="000D270D"/>
    <w:rsid w:val="000D6242"/>
    <w:rsid w:val="000F145E"/>
    <w:rsid w:val="00111E31"/>
    <w:rsid w:val="00122932"/>
    <w:rsid w:val="00125193"/>
    <w:rsid w:val="00142A99"/>
    <w:rsid w:val="00152AFD"/>
    <w:rsid w:val="001621AB"/>
    <w:rsid w:val="0016303D"/>
    <w:rsid w:val="00166511"/>
    <w:rsid w:val="00175854"/>
    <w:rsid w:val="00175D9D"/>
    <w:rsid w:val="00180779"/>
    <w:rsid w:val="00185B84"/>
    <w:rsid w:val="001A3B17"/>
    <w:rsid w:val="001A4A46"/>
    <w:rsid w:val="001B4145"/>
    <w:rsid w:val="001C70F8"/>
    <w:rsid w:val="001C7D4E"/>
    <w:rsid w:val="001E1A1C"/>
    <w:rsid w:val="001E50BE"/>
    <w:rsid w:val="001F133B"/>
    <w:rsid w:val="002003A2"/>
    <w:rsid w:val="00207293"/>
    <w:rsid w:val="00220E3E"/>
    <w:rsid w:val="00223543"/>
    <w:rsid w:val="002549C8"/>
    <w:rsid w:val="0027276F"/>
    <w:rsid w:val="00296629"/>
    <w:rsid w:val="002C3B01"/>
    <w:rsid w:val="00302713"/>
    <w:rsid w:val="00305CF2"/>
    <w:rsid w:val="00314D05"/>
    <w:rsid w:val="00336F64"/>
    <w:rsid w:val="00337CEB"/>
    <w:rsid w:val="00354973"/>
    <w:rsid w:val="00364B7F"/>
    <w:rsid w:val="00371A70"/>
    <w:rsid w:val="00385D20"/>
    <w:rsid w:val="003915E3"/>
    <w:rsid w:val="003A0083"/>
    <w:rsid w:val="003B0380"/>
    <w:rsid w:val="003B1D18"/>
    <w:rsid w:val="003C04E0"/>
    <w:rsid w:val="003D5272"/>
    <w:rsid w:val="003F1792"/>
    <w:rsid w:val="003F1BAF"/>
    <w:rsid w:val="00403455"/>
    <w:rsid w:val="004144D8"/>
    <w:rsid w:val="004163BC"/>
    <w:rsid w:val="00417943"/>
    <w:rsid w:val="00421745"/>
    <w:rsid w:val="0042699E"/>
    <w:rsid w:val="0043646F"/>
    <w:rsid w:val="004431FF"/>
    <w:rsid w:val="00452C78"/>
    <w:rsid w:val="0045318C"/>
    <w:rsid w:val="004771AF"/>
    <w:rsid w:val="00485ACA"/>
    <w:rsid w:val="00486362"/>
    <w:rsid w:val="004D7A46"/>
    <w:rsid w:val="004F002F"/>
    <w:rsid w:val="00507801"/>
    <w:rsid w:val="005123C7"/>
    <w:rsid w:val="00525EC9"/>
    <w:rsid w:val="00536721"/>
    <w:rsid w:val="00536D53"/>
    <w:rsid w:val="005522D5"/>
    <w:rsid w:val="005561F9"/>
    <w:rsid w:val="00556A24"/>
    <w:rsid w:val="005674B5"/>
    <w:rsid w:val="005936C1"/>
    <w:rsid w:val="00593B05"/>
    <w:rsid w:val="005B70D6"/>
    <w:rsid w:val="005C43AC"/>
    <w:rsid w:val="005D52EB"/>
    <w:rsid w:val="005E7A23"/>
    <w:rsid w:val="00624C07"/>
    <w:rsid w:val="00630893"/>
    <w:rsid w:val="00631AC7"/>
    <w:rsid w:val="00653D3F"/>
    <w:rsid w:val="00655B21"/>
    <w:rsid w:val="006656CD"/>
    <w:rsid w:val="0067074A"/>
    <w:rsid w:val="00670D4C"/>
    <w:rsid w:val="0068479E"/>
    <w:rsid w:val="006C4B39"/>
    <w:rsid w:val="006D122D"/>
    <w:rsid w:val="006D18EA"/>
    <w:rsid w:val="006D4AE6"/>
    <w:rsid w:val="006D6D66"/>
    <w:rsid w:val="006E5857"/>
    <w:rsid w:val="007042B2"/>
    <w:rsid w:val="0071329A"/>
    <w:rsid w:val="00715E1E"/>
    <w:rsid w:val="0074672C"/>
    <w:rsid w:val="0075024F"/>
    <w:rsid w:val="00762724"/>
    <w:rsid w:val="0076554F"/>
    <w:rsid w:val="00767313"/>
    <w:rsid w:val="00783266"/>
    <w:rsid w:val="00791D01"/>
    <w:rsid w:val="007B17A1"/>
    <w:rsid w:val="007B22AF"/>
    <w:rsid w:val="007D36DE"/>
    <w:rsid w:val="00810075"/>
    <w:rsid w:val="0081698D"/>
    <w:rsid w:val="00823948"/>
    <w:rsid w:val="00830EB9"/>
    <w:rsid w:val="00842135"/>
    <w:rsid w:val="008455E3"/>
    <w:rsid w:val="00847FF0"/>
    <w:rsid w:val="0085269A"/>
    <w:rsid w:val="008543CC"/>
    <w:rsid w:val="00863C11"/>
    <w:rsid w:val="008773A6"/>
    <w:rsid w:val="00884E28"/>
    <w:rsid w:val="0089573E"/>
    <w:rsid w:val="008A0764"/>
    <w:rsid w:val="008A1790"/>
    <w:rsid w:val="008A5765"/>
    <w:rsid w:val="008A5AA3"/>
    <w:rsid w:val="008B0AC7"/>
    <w:rsid w:val="008B71C4"/>
    <w:rsid w:val="008C2A25"/>
    <w:rsid w:val="008C4BE2"/>
    <w:rsid w:val="009010CD"/>
    <w:rsid w:val="009078B8"/>
    <w:rsid w:val="009115CB"/>
    <w:rsid w:val="00914B63"/>
    <w:rsid w:val="00921634"/>
    <w:rsid w:val="0092611D"/>
    <w:rsid w:val="0093341E"/>
    <w:rsid w:val="00934947"/>
    <w:rsid w:val="00947E84"/>
    <w:rsid w:val="0096304A"/>
    <w:rsid w:val="009816CD"/>
    <w:rsid w:val="00983E7C"/>
    <w:rsid w:val="0098443D"/>
    <w:rsid w:val="00992680"/>
    <w:rsid w:val="009B0CF1"/>
    <w:rsid w:val="009B308F"/>
    <w:rsid w:val="009C3B26"/>
    <w:rsid w:val="009E7A1A"/>
    <w:rsid w:val="009F10B5"/>
    <w:rsid w:val="00A05874"/>
    <w:rsid w:val="00A0656A"/>
    <w:rsid w:val="00A11B35"/>
    <w:rsid w:val="00A26ED4"/>
    <w:rsid w:val="00A535E8"/>
    <w:rsid w:val="00A70327"/>
    <w:rsid w:val="00A70BEF"/>
    <w:rsid w:val="00A75F8E"/>
    <w:rsid w:val="00A82A20"/>
    <w:rsid w:val="00A82F9B"/>
    <w:rsid w:val="00AA4C60"/>
    <w:rsid w:val="00AD5DD4"/>
    <w:rsid w:val="00AF5A3B"/>
    <w:rsid w:val="00AF64F3"/>
    <w:rsid w:val="00B16C95"/>
    <w:rsid w:val="00B27C66"/>
    <w:rsid w:val="00B31EE5"/>
    <w:rsid w:val="00B414FF"/>
    <w:rsid w:val="00B5000D"/>
    <w:rsid w:val="00B70DB3"/>
    <w:rsid w:val="00BC1514"/>
    <w:rsid w:val="00BE0121"/>
    <w:rsid w:val="00BE3498"/>
    <w:rsid w:val="00BE53F9"/>
    <w:rsid w:val="00C163F4"/>
    <w:rsid w:val="00C2618C"/>
    <w:rsid w:val="00C460A5"/>
    <w:rsid w:val="00C47D87"/>
    <w:rsid w:val="00C53575"/>
    <w:rsid w:val="00C6354C"/>
    <w:rsid w:val="00C80CBC"/>
    <w:rsid w:val="00C86688"/>
    <w:rsid w:val="00CA7A62"/>
    <w:rsid w:val="00CB7D81"/>
    <w:rsid w:val="00CD44C1"/>
    <w:rsid w:val="00CF073E"/>
    <w:rsid w:val="00D14A23"/>
    <w:rsid w:val="00D16401"/>
    <w:rsid w:val="00D20926"/>
    <w:rsid w:val="00D24D18"/>
    <w:rsid w:val="00D32482"/>
    <w:rsid w:val="00D40138"/>
    <w:rsid w:val="00D4598C"/>
    <w:rsid w:val="00D47004"/>
    <w:rsid w:val="00D504DC"/>
    <w:rsid w:val="00D54A08"/>
    <w:rsid w:val="00D54F3C"/>
    <w:rsid w:val="00D62916"/>
    <w:rsid w:val="00D760EA"/>
    <w:rsid w:val="00D76A93"/>
    <w:rsid w:val="00D93AE2"/>
    <w:rsid w:val="00DA4D04"/>
    <w:rsid w:val="00DC4D27"/>
    <w:rsid w:val="00DC6A51"/>
    <w:rsid w:val="00DE24E5"/>
    <w:rsid w:val="00E019F0"/>
    <w:rsid w:val="00E0235E"/>
    <w:rsid w:val="00E0765E"/>
    <w:rsid w:val="00E11C32"/>
    <w:rsid w:val="00E24336"/>
    <w:rsid w:val="00E251E3"/>
    <w:rsid w:val="00E25605"/>
    <w:rsid w:val="00E3079C"/>
    <w:rsid w:val="00E36E4C"/>
    <w:rsid w:val="00E57C12"/>
    <w:rsid w:val="00E64D6D"/>
    <w:rsid w:val="00E70052"/>
    <w:rsid w:val="00E80378"/>
    <w:rsid w:val="00E876A9"/>
    <w:rsid w:val="00E878DF"/>
    <w:rsid w:val="00E93739"/>
    <w:rsid w:val="00EB416B"/>
    <w:rsid w:val="00EC4B81"/>
    <w:rsid w:val="00ED0E80"/>
    <w:rsid w:val="00EE5131"/>
    <w:rsid w:val="00EE7DAC"/>
    <w:rsid w:val="00EF4838"/>
    <w:rsid w:val="00F34E4B"/>
    <w:rsid w:val="00F3700B"/>
    <w:rsid w:val="00F376A7"/>
    <w:rsid w:val="00F42EF9"/>
    <w:rsid w:val="00F4780A"/>
    <w:rsid w:val="00F71C0A"/>
    <w:rsid w:val="00FB0489"/>
    <w:rsid w:val="00FD07F1"/>
    <w:rsid w:val="00FD5E3D"/>
    <w:rsid w:val="00FD6F47"/>
    <w:rsid w:val="00FE44E7"/>
    <w:rsid w:val="00FF0046"/>
    <w:rsid w:val="00FF7B2B"/>
    <w:rsid w:val="00FF7F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388E256"/>
  <w15:docId w15:val="{C3544A1E-144B-4024-830F-81CC91FF41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rsid w:val="006E5857"/>
    <w:pPr>
      <w:keepNext/>
      <w:spacing w:before="20" w:after="20"/>
      <w:outlineLvl w:val="0"/>
    </w:pPr>
    <w:rPr>
      <w:rFonts w:ascii="Arial" w:hAnsi="Arial"/>
      <w:b/>
      <w:sz w:val="2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93341E"/>
    <w:rPr>
      <w:color w:val="0000FF"/>
      <w:u w:val="single"/>
    </w:rPr>
  </w:style>
  <w:style w:type="paragraph" w:styleId="NormalWeb">
    <w:name w:val="Normal (Web)"/>
    <w:basedOn w:val="Normal"/>
    <w:rsid w:val="00D54F3C"/>
    <w:pPr>
      <w:spacing w:before="100" w:beforeAutospacing="1" w:after="100" w:afterAutospacing="1"/>
    </w:pPr>
    <w:rPr>
      <w:rFonts w:ascii="Arial" w:hAnsi="Arial" w:cs="Arial"/>
    </w:rPr>
  </w:style>
  <w:style w:type="character" w:styleId="Strong">
    <w:name w:val="Strong"/>
    <w:qFormat/>
    <w:rsid w:val="00D54F3C"/>
    <w:rPr>
      <w:b/>
      <w:bCs/>
    </w:rPr>
  </w:style>
  <w:style w:type="character" w:styleId="Emphasis">
    <w:name w:val="Emphasis"/>
    <w:qFormat/>
    <w:rsid w:val="00D54F3C"/>
    <w:rPr>
      <w:i/>
      <w:iCs/>
    </w:rPr>
  </w:style>
  <w:style w:type="paragraph" w:customStyle="1" w:styleId="BodyText">
    <w:name w:val="BodyText"/>
    <w:basedOn w:val="Normal"/>
    <w:rsid w:val="00FD07F1"/>
    <w:pPr>
      <w:spacing w:before="20" w:after="20"/>
    </w:pPr>
    <w:rPr>
      <w:rFonts w:ascii="Arial" w:hAnsi="Arial"/>
      <w:sz w:val="22"/>
      <w:szCs w:val="20"/>
    </w:rPr>
  </w:style>
  <w:style w:type="paragraph" w:customStyle="1" w:styleId="TableLeft">
    <w:name w:val="TableLeft"/>
    <w:rsid w:val="006E5857"/>
    <w:rPr>
      <w:rFonts w:ascii="Arial" w:hAnsi="Arial"/>
      <w:sz w:val="18"/>
    </w:rPr>
  </w:style>
  <w:style w:type="paragraph" w:styleId="Footer">
    <w:name w:val="footer"/>
    <w:basedOn w:val="Normal"/>
    <w:rsid w:val="00B31EE5"/>
    <w:pPr>
      <w:tabs>
        <w:tab w:val="center" w:pos="4320"/>
        <w:tab w:val="right" w:pos="8640"/>
      </w:tabs>
    </w:pPr>
  </w:style>
  <w:style w:type="character" w:styleId="PageNumber">
    <w:name w:val="page number"/>
    <w:basedOn w:val="DefaultParagraphFont"/>
    <w:rsid w:val="00B31EE5"/>
  </w:style>
  <w:style w:type="paragraph" w:styleId="BodyText0">
    <w:name w:val="Body Text"/>
    <w:basedOn w:val="Normal"/>
    <w:rsid w:val="009E7A1A"/>
    <w:pPr>
      <w:autoSpaceDE w:val="0"/>
      <w:autoSpaceDN w:val="0"/>
      <w:adjustRightInd w:val="0"/>
    </w:pPr>
    <w:rPr>
      <w:rFonts w:ascii="Arial" w:hAnsi="Arial"/>
      <w:iCs/>
      <w:color w:val="000000"/>
      <w:sz w:val="22"/>
      <w:szCs w:val="22"/>
    </w:rPr>
  </w:style>
  <w:style w:type="character" w:styleId="FollowedHyperlink">
    <w:name w:val="FollowedHyperlink"/>
    <w:rsid w:val="001C70F8"/>
    <w:rPr>
      <w:color w:val="800080"/>
      <w:u w:val="single"/>
    </w:rPr>
  </w:style>
  <w:style w:type="character" w:styleId="CommentReference">
    <w:name w:val="annotation reference"/>
    <w:basedOn w:val="DefaultParagraphFont"/>
    <w:rsid w:val="00302713"/>
    <w:rPr>
      <w:sz w:val="16"/>
      <w:szCs w:val="16"/>
    </w:rPr>
  </w:style>
  <w:style w:type="paragraph" w:styleId="CommentText">
    <w:name w:val="annotation text"/>
    <w:basedOn w:val="Normal"/>
    <w:link w:val="CommentTextChar"/>
    <w:rsid w:val="00302713"/>
    <w:rPr>
      <w:sz w:val="20"/>
      <w:szCs w:val="20"/>
    </w:rPr>
  </w:style>
  <w:style w:type="character" w:customStyle="1" w:styleId="CommentTextChar">
    <w:name w:val="Comment Text Char"/>
    <w:basedOn w:val="DefaultParagraphFont"/>
    <w:link w:val="CommentText"/>
    <w:rsid w:val="00302713"/>
  </w:style>
  <w:style w:type="paragraph" w:styleId="CommentSubject">
    <w:name w:val="annotation subject"/>
    <w:basedOn w:val="CommentText"/>
    <w:next w:val="CommentText"/>
    <w:link w:val="CommentSubjectChar"/>
    <w:rsid w:val="00302713"/>
    <w:rPr>
      <w:b/>
      <w:bCs/>
    </w:rPr>
  </w:style>
  <w:style w:type="character" w:customStyle="1" w:styleId="CommentSubjectChar">
    <w:name w:val="Comment Subject Char"/>
    <w:basedOn w:val="CommentTextChar"/>
    <w:link w:val="CommentSubject"/>
    <w:rsid w:val="00302713"/>
    <w:rPr>
      <w:b/>
      <w:bCs/>
    </w:rPr>
  </w:style>
  <w:style w:type="paragraph" w:styleId="BalloonText">
    <w:name w:val="Balloon Text"/>
    <w:basedOn w:val="Normal"/>
    <w:link w:val="BalloonTextChar"/>
    <w:rsid w:val="00302713"/>
    <w:rPr>
      <w:rFonts w:ascii="Tahoma" w:hAnsi="Tahoma" w:cs="Tahoma"/>
      <w:sz w:val="16"/>
      <w:szCs w:val="16"/>
    </w:rPr>
  </w:style>
  <w:style w:type="character" w:customStyle="1" w:styleId="BalloonTextChar">
    <w:name w:val="Balloon Text Char"/>
    <w:basedOn w:val="DefaultParagraphFont"/>
    <w:link w:val="BalloonText"/>
    <w:rsid w:val="00302713"/>
    <w:rPr>
      <w:rFonts w:ascii="Tahoma" w:hAnsi="Tahoma" w:cs="Tahoma"/>
      <w:sz w:val="16"/>
      <w:szCs w:val="16"/>
    </w:rPr>
  </w:style>
  <w:style w:type="table" w:styleId="TableGrid">
    <w:name w:val="Table Grid"/>
    <w:basedOn w:val="TableNormal"/>
    <w:rsid w:val="005936C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wagner@usgs.gov" TargetMode="External"/><Relationship Id="rId13" Type="http://schemas.openxmlformats.org/officeDocument/2006/relationships/hyperlink" Target="mailto:jpainter@usgs.gov" TargetMode="External"/><Relationship Id="rId18" Type="http://schemas.openxmlformats.org/officeDocument/2006/relationships/hyperlink" Target="mailto:rrknight@usgs.gov"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hyperlink" Target="mailto:bcampbel@usgs.gov" TargetMode="External"/><Relationship Id="rId7" Type="http://schemas.openxmlformats.org/officeDocument/2006/relationships/endnotes" Target="endnotes.xml"/><Relationship Id="rId12" Type="http://schemas.openxmlformats.org/officeDocument/2006/relationships/hyperlink" Target="mailto:wffalls@usgs.gov" TargetMode="External"/><Relationship Id="rId17" Type="http://schemas.openxmlformats.org/officeDocument/2006/relationships/hyperlink" Target="mailto:jasonmay@usgs.gov"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mailto:tcuffney@usgs.gov" TargetMode="External"/><Relationship Id="rId20" Type="http://schemas.openxmlformats.org/officeDocument/2006/relationships/hyperlink" Target="mailto:song.qian@utoledo.edu"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gsmith@usgs.gov" TargetMode="External"/><Relationship Id="rId24"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hyperlink" Target="mailto:lgurley@usgs.gov" TargetMode="External"/><Relationship Id="rId23" Type="http://schemas.openxmlformats.org/officeDocument/2006/relationships/hyperlink" Target="mailto:gccherry@usgs.gov" TargetMode="External"/><Relationship Id="rId28" Type="http://schemas.openxmlformats.org/officeDocument/2006/relationships/theme" Target="theme/theme1.xml"/><Relationship Id="rId10" Type="http://schemas.openxmlformats.org/officeDocument/2006/relationships/hyperlink" Target="mailto:aterando@usgs.gov" TargetMode="External"/><Relationship Id="rId19" Type="http://schemas.openxmlformats.org/officeDocument/2006/relationships/hyperlink" Target="mailto:mcfreeman@usgs.gov" TargetMode="External"/><Relationship Id="rId4" Type="http://schemas.openxmlformats.org/officeDocument/2006/relationships/settings" Target="settings.xml"/><Relationship Id="rId9" Type="http://schemas.openxmlformats.org/officeDocument/2006/relationships/hyperlink" Target="mailto:gmsanche@ncsu.edu" TargetMode="External"/><Relationship Id="rId14" Type="http://schemas.openxmlformats.org/officeDocument/2006/relationships/hyperlink" Target="mailto:agarcia@usgs.gov" TargetMode="External"/><Relationship Id="rId22" Type="http://schemas.openxmlformats.org/officeDocument/2006/relationships/hyperlink" Target="mailto:jmfine@usgs.gov" TargetMode="Externa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FE355D-4A2D-406E-A09A-705BE38A9C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1797</Words>
  <Characters>11974</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Ground Water Resources Program</vt:lpstr>
    </vt:vector>
  </TitlesOfParts>
  <Company>U.S. Geological Survey</Company>
  <LinksUpToDate>false</LinksUpToDate>
  <CharactersWithSpaces>13744</CharactersWithSpaces>
  <SharedDoc>false</SharedDoc>
  <HLinks>
    <vt:vector size="18" baseType="variant">
      <vt:variant>
        <vt:i4>8061030</vt:i4>
      </vt:variant>
      <vt:variant>
        <vt:i4>6</vt:i4>
      </vt:variant>
      <vt:variant>
        <vt:i4>0</vt:i4>
      </vt:variant>
      <vt:variant>
        <vt:i4>5</vt:i4>
      </vt:variant>
      <vt:variant>
        <vt:lpwstr>http://water.usgs.gov/ogw/gwrp/pubs/bib.php</vt:lpwstr>
      </vt:variant>
      <vt:variant>
        <vt:lpwstr/>
      </vt:variant>
      <vt:variant>
        <vt:i4>262200</vt:i4>
      </vt:variant>
      <vt:variant>
        <vt:i4>3</vt:i4>
      </vt:variant>
      <vt:variant>
        <vt:i4>0</vt:i4>
      </vt:variant>
      <vt:variant>
        <vt:i4>5</vt:i4>
      </vt:variant>
      <vt:variant>
        <vt:lpwstr>http://water.usgs.gov/ogw/gwrp/usgs/reporting_guidance.html</vt:lpwstr>
      </vt:variant>
      <vt:variant>
        <vt:lpwstr/>
      </vt:variant>
      <vt:variant>
        <vt:i4>3866639</vt:i4>
      </vt:variant>
      <vt:variant>
        <vt:i4>0</vt:i4>
      </vt:variant>
      <vt:variant>
        <vt:i4>0</vt:i4>
      </vt:variant>
      <vt:variant>
        <vt:i4>5</vt:i4>
      </vt:variant>
      <vt:variant>
        <vt:lpwstr>mailto:kdennehy@usgs.gov</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Ground Water Resources Program</dc:title>
  <dc:creator>U.S. Geological Survey</dc:creator>
  <cp:lastModifiedBy>Lambert, Patrick M</cp:lastModifiedBy>
  <cp:revision>2</cp:revision>
  <cp:lastPrinted>2010-08-13T18:27:00Z</cp:lastPrinted>
  <dcterms:created xsi:type="dcterms:W3CDTF">2017-09-05T21:45:00Z</dcterms:created>
  <dcterms:modified xsi:type="dcterms:W3CDTF">2017-09-05T21:45:00Z</dcterms:modified>
</cp:coreProperties>
</file>