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DE608" w14:textId="77777777"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14:paraId="293E9B32" w14:textId="77777777" w:rsidR="00305CF2" w:rsidRPr="00EF4838" w:rsidRDefault="00305CF2" w:rsidP="00655B21">
      <w:pPr>
        <w:jc w:val="center"/>
        <w:rPr>
          <w:rFonts w:ascii="Arial" w:hAnsi="Arial" w:cs="Arial"/>
          <w:b/>
          <w:sz w:val="28"/>
          <w:szCs w:val="28"/>
        </w:rPr>
      </w:pPr>
      <w:r>
        <w:rPr>
          <w:rFonts w:ascii="Arial" w:hAnsi="Arial" w:cs="Arial"/>
          <w:b/>
          <w:sz w:val="28"/>
          <w:szCs w:val="28"/>
        </w:rPr>
        <w:t>Regional Groundwater Availability Projects</w:t>
      </w:r>
    </w:p>
    <w:p w14:paraId="61D4A248"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D3724A">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14:paraId="35628B2F" w14:textId="77777777" w:rsidR="00593B05" w:rsidRPr="00F4780A" w:rsidRDefault="00D3724A" w:rsidP="00593B05">
      <w:pPr>
        <w:jc w:val="center"/>
        <w:rPr>
          <w:rFonts w:ascii="Arial" w:hAnsi="Arial" w:cs="Arial"/>
          <w:b/>
          <w:sz w:val="28"/>
          <w:szCs w:val="28"/>
        </w:rPr>
      </w:pPr>
      <w:r>
        <w:rPr>
          <w:rFonts w:ascii="Arial" w:hAnsi="Arial" w:cs="Arial"/>
          <w:b/>
          <w:sz w:val="28"/>
          <w:szCs w:val="28"/>
        </w:rPr>
        <w:t>July 19, 2017</w:t>
      </w:r>
    </w:p>
    <w:p w14:paraId="20825A8D" w14:textId="77777777" w:rsidR="00593B05" w:rsidRDefault="00593B05" w:rsidP="00593B05">
      <w:pPr>
        <w:jc w:val="center"/>
        <w:rPr>
          <w:rFonts w:ascii="Arial" w:hAnsi="Arial" w:cs="Arial"/>
          <w:b/>
        </w:rPr>
      </w:pPr>
    </w:p>
    <w:p w14:paraId="43D889D8" w14:textId="77777777" w:rsidR="00947E84" w:rsidRDefault="00593B05" w:rsidP="00593B05">
      <w:pPr>
        <w:rPr>
          <w:rFonts w:ascii="Arial" w:hAnsi="Arial" w:cs="Arial"/>
        </w:rPr>
      </w:pPr>
      <w:r>
        <w:rPr>
          <w:rFonts w:ascii="Arial" w:hAnsi="Arial" w:cs="Arial"/>
        </w:rPr>
        <w:t xml:space="preserve">To assist in documenting </w:t>
      </w:r>
      <w:r w:rsidR="00305CF2">
        <w:rPr>
          <w:rFonts w:ascii="Arial" w:hAnsi="Arial" w:cs="Arial"/>
        </w:rPr>
        <w:t>Water Availability and Use Science Program (WAUSP) a</w:t>
      </w:r>
      <w:r>
        <w:rPr>
          <w:rFonts w:ascii="Arial" w:hAnsi="Arial" w:cs="Arial"/>
        </w:rPr>
        <w:t>ccomplishments</w:t>
      </w:r>
      <w:r w:rsidR="00BC1514">
        <w:rPr>
          <w:rFonts w:ascii="Arial" w:hAnsi="Arial" w:cs="Arial"/>
        </w:rPr>
        <w:t>,</w:t>
      </w:r>
      <w:r>
        <w:rPr>
          <w:rFonts w:ascii="Arial" w:hAnsi="Arial" w:cs="Arial"/>
        </w:rPr>
        <w:t xml:space="preserve"> </w:t>
      </w:r>
      <w:r w:rsidR="00305CF2">
        <w:rPr>
          <w:rFonts w:ascii="Arial" w:hAnsi="Arial" w:cs="Arial"/>
        </w:rPr>
        <w:t>we are requesting</w:t>
      </w:r>
      <w:r w:rsidR="00F34E4B">
        <w:rPr>
          <w:rFonts w:ascii="Arial" w:hAnsi="Arial" w:cs="Arial"/>
        </w:rPr>
        <w:t xml:space="preserve"> </w:t>
      </w:r>
      <w:r w:rsidR="008C2A25">
        <w:rPr>
          <w:rFonts w:ascii="Arial" w:hAnsi="Arial" w:cs="Arial"/>
        </w:rPr>
        <w:t>an</w:t>
      </w:r>
      <w:r w:rsidR="00F34E4B">
        <w:rPr>
          <w:rFonts w:ascii="Arial" w:hAnsi="Arial" w:cs="Arial"/>
        </w:rPr>
        <w:t xml:space="preserve"> </w:t>
      </w:r>
      <w:r w:rsidR="00125193" w:rsidRPr="00125193">
        <w:rPr>
          <w:rFonts w:ascii="Arial" w:hAnsi="Arial" w:cs="Arial"/>
          <w:u w:val="single"/>
        </w:rPr>
        <w:t>E</w:t>
      </w:r>
      <w:r w:rsidR="00125193">
        <w:rPr>
          <w:rFonts w:ascii="Arial" w:hAnsi="Arial" w:cs="Arial"/>
        </w:rPr>
        <w:t>nd</w:t>
      </w:r>
      <w:r w:rsidR="0074672C">
        <w:rPr>
          <w:rFonts w:ascii="Arial" w:hAnsi="Arial" w:cs="Arial"/>
        </w:rPr>
        <w:t>-</w:t>
      </w:r>
      <w:r w:rsidR="00125193" w:rsidRPr="00125193">
        <w:rPr>
          <w:rFonts w:ascii="Arial" w:hAnsi="Arial" w:cs="Arial"/>
          <w:u w:val="single"/>
        </w:rPr>
        <w:t>O</w:t>
      </w:r>
      <w:r w:rsidR="00125193">
        <w:rPr>
          <w:rFonts w:ascii="Arial" w:hAnsi="Arial" w:cs="Arial"/>
        </w:rPr>
        <w:t>f</w:t>
      </w:r>
      <w:r w:rsidR="0074672C">
        <w:rPr>
          <w:rFonts w:ascii="Arial" w:hAnsi="Arial" w:cs="Arial"/>
        </w:rPr>
        <w:t>-</w:t>
      </w:r>
      <w:r w:rsidR="00125193" w:rsidRPr="00125193">
        <w:rPr>
          <w:rFonts w:ascii="Arial" w:hAnsi="Arial" w:cs="Arial"/>
          <w:u w:val="single"/>
        </w:rPr>
        <w:t>Y</w:t>
      </w:r>
      <w:r w:rsidR="00305CF2">
        <w:rPr>
          <w:rFonts w:ascii="Arial" w:hAnsi="Arial" w:cs="Arial"/>
        </w:rPr>
        <w:t>ear (EOY) report for the regional groundwater availability projects</w:t>
      </w:r>
      <w:r>
        <w:rPr>
          <w:rFonts w:ascii="Arial" w:hAnsi="Arial" w:cs="Arial"/>
        </w:rPr>
        <w:t xml:space="preserve">. </w:t>
      </w:r>
      <w:r w:rsidR="00305CF2">
        <w:rPr>
          <w:rFonts w:ascii="Arial" w:hAnsi="Arial" w:cs="Arial"/>
        </w:rPr>
        <w:t>The</w:t>
      </w:r>
      <w:r>
        <w:rPr>
          <w:rFonts w:ascii="Arial" w:hAnsi="Arial" w:cs="Arial"/>
        </w:rPr>
        <w:t xml:space="preserve"> </w:t>
      </w:r>
      <w:r w:rsidR="00305CF2">
        <w:rPr>
          <w:rFonts w:ascii="Arial" w:hAnsi="Arial" w:cs="Arial"/>
        </w:rPr>
        <w:t xml:space="preserve">EOY </w:t>
      </w:r>
      <w:r>
        <w:rPr>
          <w:rFonts w:ascii="Arial" w:hAnsi="Arial" w:cs="Arial"/>
        </w:rPr>
        <w:t xml:space="preserve">report </w:t>
      </w:r>
      <w:r w:rsidR="00947E84">
        <w:rPr>
          <w:rFonts w:ascii="Arial" w:hAnsi="Arial" w:cs="Arial"/>
        </w:rPr>
        <w:t>has two functions:</w:t>
      </w:r>
    </w:p>
    <w:p w14:paraId="652D0D44" w14:textId="77777777" w:rsidR="00D16401" w:rsidRDefault="00D16401" w:rsidP="00593B05">
      <w:pPr>
        <w:rPr>
          <w:rFonts w:ascii="Arial" w:hAnsi="Arial" w:cs="Arial"/>
        </w:rPr>
      </w:pPr>
    </w:p>
    <w:p w14:paraId="0C62D5D4" w14:textId="77777777" w:rsidR="00947E84" w:rsidRDefault="00947E84" w:rsidP="00947E84">
      <w:pPr>
        <w:numPr>
          <w:ilvl w:val="0"/>
          <w:numId w:val="19"/>
        </w:numPr>
        <w:rPr>
          <w:rFonts w:ascii="Arial" w:hAnsi="Arial" w:cs="Arial"/>
        </w:rPr>
      </w:pPr>
      <w:r>
        <w:rPr>
          <w:rFonts w:ascii="Arial" w:hAnsi="Arial" w:cs="Arial"/>
        </w:rPr>
        <w:t xml:space="preserve">Provide the Program with important project information </w:t>
      </w:r>
      <w:r w:rsidR="007B17A1">
        <w:rPr>
          <w:rFonts w:ascii="Arial" w:hAnsi="Arial" w:cs="Arial"/>
        </w:rPr>
        <w:t>used for budgeting, planning, and, eventually as web re-engineering gets implemented, for WAUSP web site information.</w:t>
      </w:r>
    </w:p>
    <w:p w14:paraId="46B1DD9D" w14:textId="77777777" w:rsidR="00947E84" w:rsidRDefault="00947E84" w:rsidP="00947E84">
      <w:pPr>
        <w:numPr>
          <w:ilvl w:val="0"/>
          <w:numId w:val="19"/>
        </w:numPr>
        <w:rPr>
          <w:rFonts w:ascii="Arial" w:hAnsi="Arial" w:cs="Arial"/>
        </w:rPr>
      </w:pPr>
      <w:r>
        <w:rPr>
          <w:rFonts w:ascii="Arial" w:hAnsi="Arial" w:cs="Arial"/>
        </w:rPr>
        <w:t>Confirm</w:t>
      </w:r>
      <w:r w:rsidR="007B17A1">
        <w:rPr>
          <w:rFonts w:ascii="Arial" w:hAnsi="Arial" w:cs="Arial"/>
        </w:rPr>
        <w:t xml:space="preserve"> and describe the workplan and budget</w:t>
      </w:r>
      <w:r>
        <w:rPr>
          <w:rFonts w:ascii="Arial" w:hAnsi="Arial" w:cs="Arial"/>
        </w:rPr>
        <w:t xml:space="preserve"> for the upcoming fiscal year.</w:t>
      </w:r>
    </w:p>
    <w:p w14:paraId="308FA155" w14:textId="77777777" w:rsidR="00593B05" w:rsidRDefault="00593B05" w:rsidP="00593B05">
      <w:pPr>
        <w:rPr>
          <w:rFonts w:ascii="Arial" w:hAnsi="Arial" w:cs="Arial"/>
        </w:rPr>
      </w:pPr>
    </w:p>
    <w:p w14:paraId="112D16CB" w14:textId="77777777" w:rsidR="00593B05" w:rsidRDefault="00593B05" w:rsidP="00593B05">
      <w:pPr>
        <w:rPr>
          <w:rFonts w:ascii="Arial" w:hAnsi="Arial" w:cs="Arial"/>
        </w:rPr>
      </w:pPr>
    </w:p>
    <w:p w14:paraId="09D02638" w14:textId="77777777" w:rsidR="00D3724A" w:rsidRDefault="00BC1514" w:rsidP="00593B05">
      <w:pPr>
        <w:rPr>
          <w:rFonts w:ascii="Arial" w:hAnsi="Arial" w:cs="Arial"/>
          <w:b/>
        </w:rPr>
      </w:pPr>
      <w:r>
        <w:rPr>
          <w:rFonts w:ascii="Arial" w:hAnsi="Arial" w:cs="Arial"/>
          <w:b/>
        </w:rPr>
        <w:t xml:space="preserve">PLEASE </w:t>
      </w:r>
      <w:r w:rsidR="0089573E">
        <w:rPr>
          <w:rFonts w:ascii="Arial" w:hAnsi="Arial" w:cs="Arial"/>
          <w:b/>
        </w:rPr>
        <w:t>SUBMIT</w:t>
      </w:r>
      <w:r w:rsidR="00D3724A">
        <w:rPr>
          <w:rFonts w:ascii="Arial" w:hAnsi="Arial" w:cs="Arial"/>
          <w:b/>
        </w:rPr>
        <w:t xml:space="preserve"> BUDGET REQUESTS BY EARLY AUGUST </w:t>
      </w:r>
    </w:p>
    <w:p w14:paraId="1156D5DD" w14:textId="77777777" w:rsidR="00593B05" w:rsidRPr="0076554F" w:rsidRDefault="00D3724A" w:rsidP="00593B05">
      <w:pPr>
        <w:rPr>
          <w:rFonts w:ascii="Arial" w:hAnsi="Arial" w:cs="Arial"/>
          <w:b/>
        </w:rPr>
      </w:pPr>
      <w:r>
        <w:rPr>
          <w:rFonts w:ascii="Arial" w:hAnsi="Arial" w:cs="Arial"/>
          <w:b/>
        </w:rPr>
        <w:t>COMPLETE EOY BY MID AUGUST</w:t>
      </w:r>
      <w:r w:rsidR="00593B05" w:rsidRPr="0042699E">
        <w:rPr>
          <w:rFonts w:ascii="Arial" w:hAnsi="Arial" w:cs="Arial"/>
          <w:b/>
          <w:color w:val="C00000"/>
        </w:rPr>
        <w:t xml:space="preserve"> </w:t>
      </w:r>
    </w:p>
    <w:p w14:paraId="4B573682" w14:textId="77777777" w:rsidR="0093341E" w:rsidRDefault="0093341E" w:rsidP="00593B05">
      <w:pPr>
        <w:rPr>
          <w:rFonts w:ascii="Arial" w:hAnsi="Arial" w:cs="Arial"/>
        </w:rPr>
      </w:pPr>
    </w:p>
    <w:p w14:paraId="6BD2EE0B" w14:textId="77777777" w:rsidR="00D3724A" w:rsidRDefault="00D3724A" w:rsidP="00593B05">
      <w:pPr>
        <w:rPr>
          <w:rFonts w:ascii="Arial" w:hAnsi="Arial" w:cs="Arial"/>
        </w:rPr>
      </w:pPr>
      <w:r>
        <w:rPr>
          <w:rFonts w:ascii="Arial" w:hAnsi="Arial" w:cs="Arial"/>
        </w:rPr>
        <w:t>Documents will be posted to google document folder.</w:t>
      </w:r>
    </w:p>
    <w:p w14:paraId="16030D84" w14:textId="77777777" w:rsidR="0093341E" w:rsidRDefault="007B17A1" w:rsidP="00593B05">
      <w:pPr>
        <w:rPr>
          <w:rFonts w:ascii="Arial" w:hAnsi="Arial" w:cs="Arial"/>
        </w:rPr>
      </w:pPr>
      <w:r>
        <w:rPr>
          <w:rFonts w:ascii="Arial" w:hAnsi="Arial" w:cs="Arial"/>
        </w:rPr>
        <w:t>Questions should be directed to Howard Reeves.</w:t>
      </w:r>
    </w:p>
    <w:p w14:paraId="0E2A3BA0" w14:textId="77777777" w:rsidR="001621AB" w:rsidRDefault="001621AB" w:rsidP="001621AB">
      <w:pPr>
        <w:rPr>
          <w:rFonts w:ascii="Arial" w:hAnsi="Arial" w:cs="Arial"/>
        </w:rPr>
      </w:pPr>
    </w:p>
    <w:p w14:paraId="053E2539" w14:textId="77777777" w:rsidR="001621AB" w:rsidRPr="00D20926" w:rsidRDefault="001621AB" w:rsidP="001621AB">
      <w:pPr>
        <w:rPr>
          <w:rFonts w:ascii="Arial" w:hAnsi="Arial" w:cs="Arial"/>
          <w:b/>
        </w:rPr>
      </w:pPr>
      <w:r w:rsidRPr="00D20926">
        <w:rPr>
          <w:rFonts w:ascii="Arial" w:hAnsi="Arial" w:cs="Arial"/>
          <w:b/>
        </w:rPr>
        <w:t>END</w:t>
      </w:r>
      <w:r w:rsidR="00B31EE5">
        <w:rPr>
          <w:rFonts w:ascii="Arial" w:hAnsi="Arial" w:cs="Arial"/>
          <w:b/>
        </w:rPr>
        <w:t>-OF-YEAR</w:t>
      </w:r>
      <w:r w:rsidRPr="00D20926">
        <w:rPr>
          <w:rFonts w:ascii="Arial" w:hAnsi="Arial" w:cs="Arial"/>
          <w:b/>
        </w:rPr>
        <w:t xml:space="preserve"> </w:t>
      </w:r>
      <w:r w:rsidR="00EF4838">
        <w:rPr>
          <w:rFonts w:ascii="Arial" w:hAnsi="Arial" w:cs="Arial"/>
          <w:b/>
        </w:rPr>
        <w:t xml:space="preserve">(EOY) </w:t>
      </w:r>
      <w:r w:rsidRPr="00D20926">
        <w:rPr>
          <w:rFonts w:ascii="Arial" w:hAnsi="Arial" w:cs="Arial"/>
          <w:b/>
        </w:rPr>
        <w:t>REPORT INSTRUCTIONS</w:t>
      </w:r>
    </w:p>
    <w:p w14:paraId="3C26A2BF" w14:textId="77777777" w:rsidR="001621AB" w:rsidRDefault="001621AB" w:rsidP="001621AB">
      <w:pPr>
        <w:rPr>
          <w:rFonts w:ascii="Arial" w:hAnsi="Arial" w:cs="Arial"/>
        </w:rPr>
      </w:pPr>
    </w:p>
    <w:p w14:paraId="313E4537" w14:textId="77777777" w:rsidR="001621AB" w:rsidRDefault="001621AB" w:rsidP="001621AB">
      <w:pPr>
        <w:rPr>
          <w:rFonts w:ascii="Arial" w:hAnsi="Arial" w:cs="Arial"/>
        </w:rPr>
      </w:pPr>
      <w:r>
        <w:rPr>
          <w:rFonts w:ascii="Arial" w:hAnsi="Arial" w:cs="Arial"/>
        </w:rPr>
        <w:t xml:space="preserve">The </w:t>
      </w:r>
      <w:r w:rsidR="00EF4838">
        <w:rPr>
          <w:rFonts w:ascii="Arial" w:hAnsi="Arial" w:cs="Arial"/>
        </w:rPr>
        <w:t>EOY</w:t>
      </w:r>
      <w:r>
        <w:rPr>
          <w:rFonts w:ascii="Arial" w:hAnsi="Arial" w:cs="Arial"/>
        </w:rPr>
        <w:t xml:space="preserve"> </w:t>
      </w:r>
      <w:r w:rsidR="00847FF0">
        <w:rPr>
          <w:rFonts w:ascii="Arial" w:hAnsi="Arial" w:cs="Arial"/>
        </w:rPr>
        <w:t xml:space="preserve">report </w:t>
      </w:r>
      <w:r>
        <w:rPr>
          <w:rFonts w:ascii="Arial" w:hAnsi="Arial" w:cs="Arial"/>
        </w:rPr>
        <w:t>contains:</w:t>
      </w:r>
    </w:p>
    <w:p w14:paraId="3CF221ED" w14:textId="77777777" w:rsidR="001621AB" w:rsidRDefault="001621AB" w:rsidP="001621AB">
      <w:pPr>
        <w:rPr>
          <w:rFonts w:ascii="Arial" w:hAnsi="Arial" w:cs="Arial"/>
        </w:rPr>
      </w:pPr>
    </w:p>
    <w:p w14:paraId="300C5DDC" w14:textId="77777777" w:rsidR="007B17A1" w:rsidRPr="007B17A1" w:rsidRDefault="001621AB" w:rsidP="007B17A1">
      <w:pPr>
        <w:numPr>
          <w:ilvl w:val="0"/>
          <w:numId w:val="2"/>
        </w:numPr>
        <w:rPr>
          <w:rFonts w:ascii="Arial" w:hAnsi="Arial" w:cs="Arial"/>
        </w:rPr>
      </w:pPr>
      <w:r>
        <w:rPr>
          <w:rFonts w:ascii="Arial" w:hAnsi="Arial" w:cs="Arial"/>
        </w:rPr>
        <w:t>Project Accomp</w:t>
      </w:r>
      <w:r w:rsidR="00D20926">
        <w:rPr>
          <w:rFonts w:ascii="Arial" w:hAnsi="Arial" w:cs="Arial"/>
        </w:rPr>
        <w:t>lishmen</w:t>
      </w:r>
      <w:r>
        <w:rPr>
          <w:rFonts w:ascii="Arial" w:hAnsi="Arial" w:cs="Arial"/>
        </w:rPr>
        <w:t>ts</w:t>
      </w:r>
      <w:r w:rsidR="00EF4838">
        <w:rPr>
          <w:rFonts w:ascii="Arial" w:hAnsi="Arial" w:cs="Arial"/>
        </w:rPr>
        <w:t>/Contributions</w:t>
      </w:r>
      <w:r w:rsidR="00762724">
        <w:rPr>
          <w:rFonts w:ascii="Arial" w:hAnsi="Arial" w:cs="Arial"/>
        </w:rPr>
        <w:t xml:space="preserve"> (FY 20</w:t>
      </w:r>
      <w:r w:rsidR="0067074A">
        <w:rPr>
          <w:rFonts w:ascii="Arial" w:hAnsi="Arial" w:cs="Arial"/>
        </w:rPr>
        <w:t>1</w:t>
      </w:r>
      <w:r w:rsidR="00D3724A">
        <w:rPr>
          <w:rFonts w:ascii="Arial" w:hAnsi="Arial" w:cs="Arial"/>
        </w:rPr>
        <w:t>7</w:t>
      </w:r>
      <w:r w:rsidR="00762724">
        <w:rPr>
          <w:rFonts w:ascii="Arial" w:hAnsi="Arial" w:cs="Arial"/>
        </w:rPr>
        <w:t>)</w:t>
      </w:r>
      <w:r w:rsidR="0016303D">
        <w:rPr>
          <w:rFonts w:ascii="Arial" w:hAnsi="Arial" w:cs="Arial"/>
        </w:rPr>
        <w:t xml:space="preserve"> – </w:t>
      </w:r>
      <w:r w:rsidR="007B17A1">
        <w:rPr>
          <w:rFonts w:ascii="Arial" w:hAnsi="Arial" w:cs="Arial"/>
        </w:rPr>
        <w:t>Summarize the major accomplishments. Ideally, provide points in a press-release format that can be used to relay information about WAUSP regional groundwater availability projects to stakeholders and the public.</w:t>
      </w:r>
    </w:p>
    <w:p w14:paraId="657995D0" w14:textId="77777777" w:rsidR="00C53575" w:rsidRDefault="001C70F8" w:rsidP="00EF4838">
      <w:pPr>
        <w:numPr>
          <w:ilvl w:val="0"/>
          <w:numId w:val="2"/>
        </w:numPr>
        <w:rPr>
          <w:rFonts w:ascii="Arial" w:hAnsi="Arial" w:cs="Arial"/>
        </w:rPr>
      </w:pPr>
      <w:r>
        <w:rPr>
          <w:rFonts w:ascii="Arial" w:hAnsi="Arial" w:cs="Arial"/>
        </w:rPr>
        <w:t xml:space="preserve">Project </w:t>
      </w:r>
      <w:r w:rsidR="00385D20">
        <w:rPr>
          <w:rFonts w:ascii="Arial" w:hAnsi="Arial" w:cs="Arial"/>
        </w:rPr>
        <w:t>Work Plan</w:t>
      </w:r>
      <w:r w:rsidR="00947E84">
        <w:rPr>
          <w:rFonts w:ascii="Arial" w:hAnsi="Arial" w:cs="Arial"/>
        </w:rPr>
        <w:t xml:space="preserve"> and</w:t>
      </w:r>
      <w:r w:rsidR="00125193">
        <w:rPr>
          <w:rFonts w:ascii="Arial" w:hAnsi="Arial" w:cs="Arial"/>
        </w:rPr>
        <w:t xml:space="preserve"> Budget for FY</w:t>
      </w:r>
      <w:r w:rsidR="00762724">
        <w:rPr>
          <w:rFonts w:ascii="Arial" w:hAnsi="Arial" w:cs="Arial"/>
        </w:rPr>
        <w:t xml:space="preserve"> </w:t>
      </w:r>
      <w:r w:rsidR="0067074A">
        <w:rPr>
          <w:rFonts w:ascii="Arial" w:hAnsi="Arial" w:cs="Arial"/>
        </w:rPr>
        <w:t>201</w:t>
      </w:r>
      <w:r w:rsidR="00D3724A">
        <w:rPr>
          <w:rFonts w:ascii="Arial" w:hAnsi="Arial" w:cs="Arial"/>
        </w:rPr>
        <w:t>8</w:t>
      </w:r>
    </w:p>
    <w:p w14:paraId="0475450D" w14:textId="77777777" w:rsidR="00EF4838" w:rsidRDefault="00EF4838" w:rsidP="001621AB">
      <w:pPr>
        <w:numPr>
          <w:ilvl w:val="0"/>
          <w:numId w:val="2"/>
        </w:numPr>
        <w:rPr>
          <w:rFonts w:ascii="Arial" w:hAnsi="Arial" w:cs="Arial"/>
        </w:rPr>
      </w:pPr>
      <w:r>
        <w:rPr>
          <w:rFonts w:ascii="Arial" w:hAnsi="Arial" w:cs="Arial"/>
        </w:rPr>
        <w:t>Noteworthy Collaborations, Meetings, Technical Transfer Activities</w:t>
      </w:r>
      <w:r w:rsidR="00630893">
        <w:rPr>
          <w:rFonts w:ascii="Arial" w:hAnsi="Arial" w:cs="Arial"/>
        </w:rPr>
        <w:t>, and Acknowledgements</w:t>
      </w:r>
    </w:p>
    <w:p w14:paraId="21E6BA33" w14:textId="77777777" w:rsidR="000D6242" w:rsidRDefault="000D6242" w:rsidP="001621AB">
      <w:pPr>
        <w:numPr>
          <w:ilvl w:val="0"/>
          <w:numId w:val="2"/>
        </w:numPr>
        <w:rPr>
          <w:rFonts w:ascii="Arial" w:hAnsi="Arial" w:cs="Arial"/>
        </w:rPr>
      </w:pPr>
      <w:r w:rsidRPr="000D6242">
        <w:rPr>
          <w:rFonts w:ascii="Arial" w:hAnsi="Arial" w:cs="Arial"/>
        </w:rPr>
        <w:t>Report Products, Bibliographic Update, Data Releases, and Groundwater-Model Archives</w:t>
      </w:r>
    </w:p>
    <w:p w14:paraId="2B81EC07" w14:textId="77777777" w:rsidR="00C53575" w:rsidRDefault="00947E84" w:rsidP="001621AB">
      <w:pPr>
        <w:numPr>
          <w:ilvl w:val="0"/>
          <w:numId w:val="2"/>
        </w:numPr>
        <w:rPr>
          <w:rFonts w:ascii="Arial" w:hAnsi="Arial" w:cs="Arial"/>
        </w:rPr>
      </w:pPr>
      <w:r>
        <w:rPr>
          <w:rFonts w:ascii="Arial" w:hAnsi="Arial" w:cs="Arial"/>
        </w:rPr>
        <w:t>Project Team Directory</w:t>
      </w:r>
    </w:p>
    <w:p w14:paraId="3248968B" w14:textId="77777777" w:rsidR="00C53575" w:rsidRDefault="00947E84" w:rsidP="00C53575">
      <w:pPr>
        <w:numPr>
          <w:ilvl w:val="0"/>
          <w:numId w:val="2"/>
        </w:numPr>
        <w:rPr>
          <w:rFonts w:ascii="Arial" w:hAnsi="Arial" w:cs="Arial"/>
        </w:rPr>
      </w:pPr>
      <w:r>
        <w:rPr>
          <w:rFonts w:ascii="Arial" w:hAnsi="Arial" w:cs="Arial"/>
        </w:rPr>
        <w:t>Photos of Field Activities</w:t>
      </w:r>
      <w:r w:rsidR="00F3700B">
        <w:rPr>
          <w:rFonts w:ascii="Arial" w:hAnsi="Arial" w:cs="Arial"/>
        </w:rPr>
        <w:t>, Animations, and Graphics</w:t>
      </w:r>
      <w:r w:rsidR="007B17A1">
        <w:rPr>
          <w:rFonts w:ascii="Arial" w:hAnsi="Arial" w:cs="Arial"/>
        </w:rPr>
        <w:t xml:space="preserve"> – material t</w:t>
      </w:r>
      <w:r w:rsidR="00630893">
        <w:rPr>
          <w:rFonts w:ascii="Arial" w:hAnsi="Arial" w:cs="Arial"/>
        </w:rPr>
        <w:t xml:space="preserve">hat </w:t>
      </w:r>
      <w:r w:rsidR="007B17A1">
        <w:rPr>
          <w:rFonts w:ascii="Arial" w:hAnsi="Arial" w:cs="Arial"/>
        </w:rPr>
        <w:t>may be extracted for presentations or budget planning documents.</w:t>
      </w:r>
    </w:p>
    <w:p w14:paraId="25C42FB5" w14:textId="77777777" w:rsidR="00D54F3C" w:rsidRDefault="00D54F3C" w:rsidP="005561F9">
      <w:pPr>
        <w:pStyle w:val="NormalWeb"/>
      </w:pPr>
    </w:p>
    <w:p w14:paraId="72670B17" w14:textId="77777777" w:rsidR="007B17A1" w:rsidRDefault="007B17A1" w:rsidP="005561F9">
      <w:pPr>
        <w:pStyle w:val="NormalWeb"/>
      </w:pPr>
    </w:p>
    <w:p w14:paraId="76217779" w14:textId="77777777" w:rsidR="0092611D" w:rsidRDefault="0092611D" w:rsidP="005561F9">
      <w:pPr>
        <w:pStyle w:val="NormalWeb"/>
      </w:pPr>
    </w:p>
    <w:p w14:paraId="7CF1628D" w14:textId="77777777" w:rsidR="00630893" w:rsidRDefault="00630893" w:rsidP="005561F9">
      <w:pPr>
        <w:pStyle w:val="NormalWeb"/>
      </w:pPr>
    </w:p>
    <w:p w14:paraId="535EB654" w14:textId="77777777" w:rsidR="00630893" w:rsidRDefault="00D54F3C" w:rsidP="00630893">
      <w:pPr>
        <w:pStyle w:val="NormalWeb"/>
        <w:spacing w:after="0" w:afterAutospacing="0"/>
        <w:rPr>
          <w:rStyle w:val="Strong"/>
        </w:rPr>
      </w:pPr>
      <w:r>
        <w:rPr>
          <w:rStyle w:val="Strong"/>
        </w:rPr>
        <w:lastRenderedPageBreak/>
        <w:t>(1) PROJECT ACCOMPLISHMENTS</w:t>
      </w:r>
      <w:r w:rsidR="001E1A1C">
        <w:rPr>
          <w:rStyle w:val="Strong"/>
        </w:rPr>
        <w:t>/CONTRIBUTIONS</w:t>
      </w:r>
      <w:r w:rsidR="0067074A">
        <w:rPr>
          <w:rStyle w:val="Strong"/>
        </w:rPr>
        <w:t xml:space="preserve"> (FY 201</w:t>
      </w:r>
      <w:r w:rsidR="00D3724A">
        <w:rPr>
          <w:rStyle w:val="Strong"/>
        </w:rPr>
        <w:t>7</w:t>
      </w:r>
      <w:r w:rsidR="00762724">
        <w:rPr>
          <w:rStyle w:val="Strong"/>
        </w:rPr>
        <w:t>)</w:t>
      </w:r>
    </w:p>
    <w:p w14:paraId="73859F23" w14:textId="77777777" w:rsidR="00C2618C" w:rsidRPr="00630893" w:rsidRDefault="00D54F3C" w:rsidP="00630893">
      <w:pPr>
        <w:pStyle w:val="NormalWeb"/>
        <w:spacing w:before="0" w:beforeAutospacing="0" w:after="0" w:afterAutospacing="0"/>
        <w:rPr>
          <w:b/>
          <w:bCs/>
        </w:rPr>
      </w:pPr>
      <w:r>
        <w:t xml:space="preserve">Provide brief </w:t>
      </w:r>
      <w:r w:rsidR="001E1A1C">
        <w:t xml:space="preserve">summaries written for the </w:t>
      </w:r>
      <w:r w:rsidR="001E1A1C" w:rsidRPr="00F376A7">
        <w:t>lay-reader</w:t>
      </w:r>
      <w:r w:rsidR="001E1A1C">
        <w:t xml:space="preserve"> of project accomplishments/contribut</w:t>
      </w:r>
      <w:r w:rsidR="00C2618C">
        <w:t>io</w:t>
      </w:r>
      <w:r w:rsidR="001E1A1C">
        <w:t xml:space="preserve">ns based on published </w:t>
      </w:r>
      <w:r w:rsidR="000A4E2F">
        <w:t>results, in press</w:t>
      </w:r>
      <w:r w:rsidR="00C2618C">
        <w:t xml:space="preserve"> publications</w:t>
      </w:r>
      <w:r w:rsidR="000A4E2F">
        <w:t xml:space="preserve">, or completed major </w:t>
      </w:r>
      <w:r w:rsidR="00F376A7">
        <w:t>milestones for the project</w:t>
      </w:r>
      <w:r w:rsidR="007B17A1">
        <w:t>.</w:t>
      </w:r>
    </w:p>
    <w:p w14:paraId="6836EDC2" w14:textId="77777777" w:rsidR="00C2618C" w:rsidRDefault="00F376A7" w:rsidP="00F376A7">
      <w:pPr>
        <w:pStyle w:val="NormalWeb"/>
        <w:spacing w:after="0" w:afterAutospacing="0"/>
      </w:pPr>
      <w:r>
        <w:t>This section</w:t>
      </w:r>
      <w:r w:rsidR="0089573E">
        <w:t xml:space="preserve"> should be a brief</w:t>
      </w:r>
      <w:r w:rsidR="00C2618C">
        <w:t xml:space="preserve"> description of how your </w:t>
      </w:r>
      <w:r w:rsidR="00FF7F99">
        <w:t xml:space="preserve">efforts and </w:t>
      </w:r>
      <w:r w:rsidR="00C2618C">
        <w:t>published results have been used to:</w:t>
      </w:r>
    </w:p>
    <w:p w14:paraId="1E4C28FC" w14:textId="77777777" w:rsidR="00556A24" w:rsidRDefault="00556A24" w:rsidP="00F376A7">
      <w:pPr>
        <w:pStyle w:val="NormalWeb"/>
        <w:numPr>
          <w:ilvl w:val="0"/>
          <w:numId w:val="4"/>
        </w:numPr>
        <w:spacing w:before="0" w:beforeAutospacing="0"/>
      </w:pPr>
      <w:r>
        <w:t>Quantitatively assess major regional aquifer systems;</w:t>
      </w:r>
    </w:p>
    <w:p w14:paraId="6ACD0889" w14:textId="77777777" w:rsidR="00556A24" w:rsidRDefault="00556A24" w:rsidP="0089573E">
      <w:pPr>
        <w:pStyle w:val="NormalWeb"/>
        <w:numPr>
          <w:ilvl w:val="0"/>
          <w:numId w:val="4"/>
        </w:numPr>
      </w:pPr>
      <w:r>
        <w:t xml:space="preserve">Improve understanding of natural and human factors controlling </w:t>
      </w:r>
      <w:r w:rsidR="00F376A7">
        <w:t>groundwater availability</w:t>
      </w:r>
      <w:r>
        <w:t xml:space="preserve"> in major aquifer systems;</w:t>
      </w:r>
    </w:p>
    <w:p w14:paraId="56CD6A6D" w14:textId="77777777" w:rsidR="00556A24" w:rsidRDefault="00F376A7" w:rsidP="0089573E">
      <w:pPr>
        <w:pStyle w:val="NormalWeb"/>
        <w:numPr>
          <w:ilvl w:val="0"/>
          <w:numId w:val="4"/>
        </w:numPr>
      </w:pPr>
      <w:r>
        <w:t>Develop,</w:t>
      </w:r>
      <w:r w:rsidR="00556A24">
        <w:t xml:space="preserve"> test</w:t>
      </w:r>
      <w:r>
        <w:t>, and implement</w:t>
      </w:r>
      <w:r w:rsidR="00556A24">
        <w:t xml:space="preserve"> new tools and field met</w:t>
      </w:r>
      <w:r w:rsidR="00525EC9">
        <w:t xml:space="preserve">hods for the analysis of </w:t>
      </w:r>
      <w:r>
        <w:t xml:space="preserve">regional </w:t>
      </w:r>
      <w:r w:rsidR="00525EC9">
        <w:t>ground</w:t>
      </w:r>
      <w:r w:rsidR="00556A24">
        <w:t>water flow systems;</w:t>
      </w:r>
    </w:p>
    <w:p w14:paraId="2178BEC7" w14:textId="77777777" w:rsidR="00E24336" w:rsidRDefault="00FF7F99" w:rsidP="0089573E">
      <w:pPr>
        <w:pStyle w:val="NormalWeb"/>
        <w:numPr>
          <w:ilvl w:val="0"/>
          <w:numId w:val="4"/>
        </w:numPr>
      </w:pPr>
      <w:r>
        <w:t xml:space="preserve">Identify and describe fundamental information pertaining to current conditions and </w:t>
      </w:r>
      <w:r w:rsidR="00556A24">
        <w:t>trends</w:t>
      </w:r>
      <w:r>
        <w:t xml:space="preserve">; </w:t>
      </w:r>
    </w:p>
    <w:p w14:paraId="303B9057" w14:textId="77777777" w:rsidR="00C2618C" w:rsidRDefault="00D62916" w:rsidP="0089573E">
      <w:pPr>
        <w:pStyle w:val="NormalWeb"/>
        <w:numPr>
          <w:ilvl w:val="0"/>
          <w:numId w:val="4"/>
        </w:numPr>
      </w:pPr>
      <w:r>
        <w:t>Plan and</w:t>
      </w:r>
      <w:r w:rsidR="00E24336">
        <w:t xml:space="preserve"> manage groundwater </w:t>
      </w:r>
      <w:r>
        <w:t>resources</w:t>
      </w:r>
      <w:r w:rsidR="00E24336">
        <w:t>;</w:t>
      </w:r>
      <w:r w:rsidR="00B70DB3">
        <w:t xml:space="preserve"> </w:t>
      </w:r>
      <w:r w:rsidR="00F376A7">
        <w:t>or</w:t>
      </w:r>
    </w:p>
    <w:p w14:paraId="781D2E59" w14:textId="77777777" w:rsidR="0089573E" w:rsidRDefault="00C2618C" w:rsidP="0089573E">
      <w:pPr>
        <w:pStyle w:val="NormalWeb"/>
        <w:numPr>
          <w:ilvl w:val="0"/>
          <w:numId w:val="4"/>
        </w:numPr>
        <w:spacing w:before="0" w:beforeAutospacing="0" w:after="0" w:afterAutospacing="0"/>
      </w:pPr>
      <w:r>
        <w:t>A</w:t>
      </w:r>
      <w:r w:rsidR="00417943">
        <w:t>dvance the state of ground</w:t>
      </w:r>
      <w:r w:rsidR="00556A24">
        <w:t>water science.</w:t>
      </w:r>
    </w:p>
    <w:p w14:paraId="1287F6E2" w14:textId="77777777" w:rsidR="00B07C54" w:rsidRDefault="00B07C54" w:rsidP="00B07C54">
      <w:pPr>
        <w:pStyle w:val="NormalWeb"/>
        <w:spacing w:before="0" w:beforeAutospacing="0" w:after="0" w:afterAutospacing="0"/>
        <w:rPr>
          <w:rFonts w:ascii="Times New Roman" w:hAnsi="Times New Roman" w:cs="Times New Roman"/>
          <w:b/>
          <w:bCs/>
          <w:sz w:val="28"/>
          <w:szCs w:val="28"/>
        </w:rPr>
      </w:pPr>
    </w:p>
    <w:p w14:paraId="0516FAF8" w14:textId="77777777" w:rsidR="00B07C54" w:rsidRDefault="00B07C54" w:rsidP="00B07C54">
      <w:pPr>
        <w:pStyle w:val="NormalWeb"/>
        <w:spacing w:before="0" w:beforeAutospacing="0" w:after="0" w:afterAutospacing="0"/>
        <w:rPr>
          <w:rFonts w:ascii="Times New Roman" w:hAnsi="Times New Roman" w:cs="Times New Roman"/>
          <w:b/>
          <w:bCs/>
          <w:sz w:val="28"/>
          <w:szCs w:val="28"/>
        </w:rPr>
      </w:pPr>
      <w:r w:rsidRPr="00B07C54">
        <w:rPr>
          <w:rFonts w:ascii="Times New Roman" w:hAnsi="Times New Roman" w:cs="Times New Roman"/>
          <w:b/>
          <w:bCs/>
          <w:sz w:val="28"/>
          <w:szCs w:val="28"/>
        </w:rPr>
        <w:t xml:space="preserve">Colorado Plateaus Water Availability Pilot Study </w:t>
      </w:r>
      <w:r>
        <w:rPr>
          <w:rFonts w:ascii="Times New Roman" w:hAnsi="Times New Roman" w:cs="Times New Roman"/>
          <w:b/>
          <w:bCs/>
          <w:sz w:val="28"/>
          <w:szCs w:val="28"/>
        </w:rPr>
        <w:t>Project Accomplishments (FY 2017)</w:t>
      </w:r>
    </w:p>
    <w:p w14:paraId="5DA6BEC7" w14:textId="77777777" w:rsidR="001F05D3" w:rsidRDefault="001F05D3" w:rsidP="003C794E">
      <w:pPr>
        <w:autoSpaceDE w:val="0"/>
        <w:autoSpaceDN w:val="0"/>
        <w:adjustRightInd w:val="0"/>
      </w:pPr>
    </w:p>
    <w:p w14:paraId="0E72529E" w14:textId="7E2D0210" w:rsidR="008765A9" w:rsidRDefault="00CB5593" w:rsidP="0076021D">
      <w:pPr>
        <w:autoSpaceDE w:val="0"/>
        <w:autoSpaceDN w:val="0"/>
        <w:adjustRightInd w:val="0"/>
      </w:pPr>
      <w:r w:rsidRPr="0076021D">
        <w:rPr>
          <w:color w:val="222222"/>
        </w:rPr>
        <w:t>The growing population of the arid and semiarid Southwest relies on over-allocated surface water resources and poorly-quantified groundwater resources in aquifers, including those of the Colorado Plateau.</w:t>
      </w:r>
      <w:r w:rsidRPr="0076021D" w:rsidDel="008D2E90">
        <w:rPr>
          <w:b/>
          <w:bCs/>
        </w:rPr>
        <w:t xml:space="preserve"> </w:t>
      </w:r>
      <w:r w:rsidR="003C794E">
        <w:t>Th</w:t>
      </w:r>
      <w:r w:rsidR="008D2E90">
        <w:t xml:space="preserve">e Colorado Plateaus </w:t>
      </w:r>
      <w:r w:rsidR="0076021D">
        <w:t>w</w:t>
      </w:r>
      <w:r w:rsidR="008D2E90">
        <w:t xml:space="preserve">ater </w:t>
      </w:r>
      <w:r w:rsidR="0076021D">
        <w:t>a</w:t>
      </w:r>
      <w:r w:rsidR="008D2E90">
        <w:t xml:space="preserve">vailability project </w:t>
      </w:r>
      <w:r w:rsidR="005D5BB5">
        <w:t xml:space="preserve">is developing </w:t>
      </w:r>
      <w:r w:rsidR="008D2E90">
        <w:rPr>
          <w:color w:val="222222"/>
        </w:rPr>
        <w:t xml:space="preserve">a new understanding </w:t>
      </w:r>
      <w:r w:rsidR="005D5BB5">
        <w:rPr>
          <w:color w:val="222222"/>
        </w:rPr>
        <w:t>of</w:t>
      </w:r>
      <w:r w:rsidR="008D2E90">
        <w:rPr>
          <w:color w:val="222222"/>
        </w:rPr>
        <w:t xml:space="preserve"> the </w:t>
      </w:r>
      <w:r w:rsidR="005D5BB5">
        <w:rPr>
          <w:color w:val="222222"/>
        </w:rPr>
        <w:t xml:space="preserve">importance of groundwater </w:t>
      </w:r>
      <w:r w:rsidR="008D2E90">
        <w:rPr>
          <w:color w:val="222222"/>
        </w:rPr>
        <w:t xml:space="preserve">in </w:t>
      </w:r>
      <w:r w:rsidR="0076021D">
        <w:rPr>
          <w:color w:val="222222"/>
        </w:rPr>
        <w:t xml:space="preserve">the </w:t>
      </w:r>
      <w:r w:rsidR="008D2E90">
        <w:rPr>
          <w:color w:val="222222"/>
        </w:rPr>
        <w:t>Colorado Plateau aquifer</w:t>
      </w:r>
      <w:r>
        <w:rPr>
          <w:color w:val="222222"/>
        </w:rPr>
        <w:t xml:space="preserve">s. The project </w:t>
      </w:r>
      <w:r w:rsidR="0076021D">
        <w:rPr>
          <w:color w:val="222222"/>
        </w:rPr>
        <w:t>will</w:t>
      </w:r>
      <w:r>
        <w:rPr>
          <w:color w:val="222222"/>
        </w:rPr>
        <w:t xml:space="preserve"> quantify the</w:t>
      </w:r>
      <w:r w:rsidR="005D5BB5">
        <w:rPr>
          <w:color w:val="222222"/>
        </w:rPr>
        <w:t xml:space="preserve"> contribution of groundwater to </w:t>
      </w:r>
      <w:r w:rsidR="008D2E90">
        <w:rPr>
          <w:color w:val="222222"/>
        </w:rPr>
        <w:t>surface water resources</w:t>
      </w:r>
      <w:r w:rsidR="005D5BB5">
        <w:rPr>
          <w:color w:val="222222"/>
        </w:rPr>
        <w:t xml:space="preserve">, and </w:t>
      </w:r>
      <w:r>
        <w:rPr>
          <w:color w:val="222222"/>
        </w:rPr>
        <w:t>characteriz</w:t>
      </w:r>
      <w:r w:rsidR="0076021D">
        <w:rPr>
          <w:color w:val="222222"/>
        </w:rPr>
        <w:t>e</w:t>
      </w:r>
      <w:r>
        <w:rPr>
          <w:color w:val="222222"/>
        </w:rPr>
        <w:t xml:space="preserve"> h</w:t>
      </w:r>
      <w:r w:rsidR="008D2E90">
        <w:rPr>
          <w:color w:val="222222"/>
        </w:rPr>
        <w:t>ow</w:t>
      </w:r>
      <w:r w:rsidR="00F71B22">
        <w:rPr>
          <w:color w:val="222222"/>
        </w:rPr>
        <w:t xml:space="preserve"> </w:t>
      </w:r>
      <w:r w:rsidR="008D2E90">
        <w:rPr>
          <w:color w:val="222222"/>
        </w:rPr>
        <w:t>th</w:t>
      </w:r>
      <w:r w:rsidR="005D5BB5">
        <w:rPr>
          <w:color w:val="222222"/>
        </w:rPr>
        <w:t xml:space="preserve">ose contributions </w:t>
      </w:r>
      <w:r>
        <w:rPr>
          <w:color w:val="222222"/>
        </w:rPr>
        <w:t xml:space="preserve">have changed, and </w:t>
      </w:r>
      <w:r w:rsidR="008D2E90">
        <w:rPr>
          <w:color w:val="222222"/>
        </w:rPr>
        <w:t>may change in the future as a result of human water use and</w:t>
      </w:r>
      <w:r w:rsidR="00F71B22">
        <w:rPr>
          <w:color w:val="222222"/>
        </w:rPr>
        <w:t xml:space="preserve"> </w:t>
      </w:r>
      <w:r w:rsidR="008D2E90">
        <w:rPr>
          <w:color w:val="222222"/>
        </w:rPr>
        <w:t>variable climate.</w:t>
      </w:r>
      <w:r w:rsidR="008765A9">
        <w:t xml:space="preserve"> </w:t>
      </w:r>
      <w:r w:rsidR="008765A9">
        <w:rPr>
          <w:color w:val="222222"/>
        </w:rPr>
        <w:t xml:space="preserve">In FY 2017, </w:t>
      </w:r>
      <w:r>
        <w:rPr>
          <w:color w:val="222222"/>
        </w:rPr>
        <w:t xml:space="preserve">the project began a </w:t>
      </w:r>
      <w:r>
        <w:t>pilot study of the San Juan River Basin, part of the Colorado Plateau hydrologic system.</w:t>
      </w:r>
      <w:r w:rsidR="00382CD6">
        <w:t xml:space="preserve"> The purpose of the pilot is to </w:t>
      </w:r>
      <w:r>
        <w:t xml:space="preserve">identify </w:t>
      </w:r>
      <w:r w:rsidR="005D5BB5">
        <w:t xml:space="preserve">a feasible modeling approach </w:t>
      </w:r>
      <w:r>
        <w:t xml:space="preserve">to </w:t>
      </w:r>
      <w:r w:rsidR="005D5BB5">
        <w:t>simulat</w:t>
      </w:r>
      <w:r>
        <w:t>e</w:t>
      </w:r>
      <w:r w:rsidR="005D5BB5">
        <w:t xml:space="preserve"> </w:t>
      </w:r>
      <w:r>
        <w:t xml:space="preserve">the </w:t>
      </w:r>
      <w:r w:rsidR="005D5BB5">
        <w:t xml:space="preserve">groundwater and surface water </w:t>
      </w:r>
      <w:r>
        <w:t xml:space="preserve">system </w:t>
      </w:r>
      <w:r w:rsidR="005D5BB5">
        <w:t>as a single resource</w:t>
      </w:r>
      <w:r w:rsidR="00382CD6">
        <w:t xml:space="preserve">. </w:t>
      </w:r>
      <w:r w:rsidR="008E3B78">
        <w:t xml:space="preserve">Our </w:t>
      </w:r>
      <w:r w:rsidR="00382CD6">
        <w:t xml:space="preserve">overall </w:t>
      </w:r>
      <w:r w:rsidR="008E3B78">
        <w:t xml:space="preserve">approach is to use the model GSFLOW to </w:t>
      </w:r>
      <w:r w:rsidR="008E3B78">
        <w:rPr>
          <w:color w:val="222222"/>
        </w:rPr>
        <w:t xml:space="preserve">simulate </w:t>
      </w:r>
      <w:r w:rsidR="00382CD6">
        <w:rPr>
          <w:color w:val="222222"/>
        </w:rPr>
        <w:t xml:space="preserve">interactions between the land surface, surface water, and groundwater in order to evaluate </w:t>
      </w:r>
      <w:r w:rsidR="008E3B78">
        <w:rPr>
          <w:color w:val="222222"/>
        </w:rPr>
        <w:t>how pumping may capture surface water and how groundwater discharge to surface water may change as a result of shifts in the distribution, magnitude, and timing of recharge during future climate.</w:t>
      </w:r>
      <w:r w:rsidR="008E3B78" w:rsidDel="005D5BB5">
        <w:t xml:space="preserve"> </w:t>
      </w:r>
    </w:p>
    <w:p w14:paraId="10323902" w14:textId="77777777" w:rsidR="0076021D" w:rsidRDefault="0076021D" w:rsidP="0076021D">
      <w:pPr>
        <w:autoSpaceDE w:val="0"/>
        <w:autoSpaceDN w:val="0"/>
        <w:adjustRightInd w:val="0"/>
      </w:pPr>
    </w:p>
    <w:p w14:paraId="49EEC52D" w14:textId="74097BF8" w:rsidR="00382CD6" w:rsidRDefault="008765A9" w:rsidP="0076021D">
      <w:pPr>
        <w:autoSpaceDE w:val="0"/>
        <w:autoSpaceDN w:val="0"/>
        <w:adjustRightInd w:val="0"/>
      </w:pPr>
      <w:r>
        <w:t xml:space="preserve">The pilot project is expected to reveal technical challenges in developing and simulating an integrated groundwater and surface-water model at the scale of the Colorado Plateau aquifers. The results of the pilot project will provide reasonable constraints on the benefits of this modeling approach compared to less-integrated techniques limited to simulating only saturated groundwater flow. </w:t>
      </w:r>
    </w:p>
    <w:p w14:paraId="680F2CDB" w14:textId="77777777" w:rsidR="00382CD6" w:rsidRDefault="00382CD6" w:rsidP="0076021D">
      <w:pPr>
        <w:autoSpaceDE w:val="0"/>
        <w:autoSpaceDN w:val="0"/>
        <w:adjustRightInd w:val="0"/>
      </w:pPr>
    </w:p>
    <w:p w14:paraId="2938C1C6" w14:textId="4AA67A35" w:rsidR="008765A9" w:rsidRDefault="008765A9" w:rsidP="0076021D">
      <w:pPr>
        <w:autoSpaceDE w:val="0"/>
        <w:autoSpaceDN w:val="0"/>
        <w:adjustRightInd w:val="0"/>
      </w:pPr>
      <w:r>
        <w:t xml:space="preserve">In FY2017, the project focused on acquiring input data sets for the groundwater-flow model MODFLOW and the land surface model PRMS, which are coupled in GSFLOW. </w:t>
      </w:r>
    </w:p>
    <w:p w14:paraId="016E9835" w14:textId="77777777" w:rsidR="008765A9" w:rsidRDefault="008765A9" w:rsidP="008765A9">
      <w:pPr>
        <w:autoSpaceDE w:val="0"/>
        <w:autoSpaceDN w:val="0"/>
        <w:adjustRightInd w:val="0"/>
      </w:pPr>
    </w:p>
    <w:p w14:paraId="311077F8" w14:textId="63997B0E" w:rsidR="008765A9" w:rsidRDefault="008765A9" w:rsidP="0076021D">
      <w:pPr>
        <w:pStyle w:val="ListParagraph"/>
        <w:numPr>
          <w:ilvl w:val="0"/>
          <w:numId w:val="31"/>
        </w:numPr>
        <w:autoSpaceDE w:val="0"/>
        <w:autoSpaceDN w:val="0"/>
        <w:adjustRightInd w:val="0"/>
      </w:pPr>
      <w:r>
        <w:t>H</w:t>
      </w:r>
      <w:r w:rsidR="00F71B22">
        <w:t xml:space="preserve">ydrogeologic units for the MODFLOW model </w:t>
      </w:r>
      <w:r>
        <w:t xml:space="preserve">were selected </w:t>
      </w:r>
      <w:r w:rsidR="00382CD6">
        <w:t xml:space="preserve">and digitized </w:t>
      </w:r>
      <w:r>
        <w:t>based on major water</w:t>
      </w:r>
      <w:r w:rsidR="00D92402">
        <w:t>-</w:t>
      </w:r>
      <w:r>
        <w:t>be</w:t>
      </w:r>
      <w:bookmarkStart w:id="0" w:name="_GoBack"/>
      <w:bookmarkEnd w:id="0"/>
      <w:r>
        <w:t xml:space="preserve">aring units from Paleozoic to </w:t>
      </w:r>
      <w:r w:rsidR="00D92402">
        <w:t>Q</w:t>
      </w:r>
      <w:r>
        <w:t>uaternary age.</w:t>
      </w:r>
    </w:p>
    <w:p w14:paraId="5FD7305C" w14:textId="77777777" w:rsidR="008765A9" w:rsidRDefault="008765A9" w:rsidP="0076021D">
      <w:pPr>
        <w:pStyle w:val="ListParagraph"/>
        <w:numPr>
          <w:ilvl w:val="0"/>
          <w:numId w:val="31"/>
        </w:numPr>
        <w:autoSpaceDE w:val="0"/>
        <w:autoSpaceDN w:val="0"/>
        <w:adjustRightInd w:val="0"/>
      </w:pPr>
      <w:r>
        <w:lastRenderedPageBreak/>
        <w:t>An uncalibrated PRMS model provided by the USGS Modeling of Watershed Systems research group was evaluated on the basis of the magnitude and timing of measured and simulated streamflow at 146 stream gages</w:t>
      </w:r>
      <w:r w:rsidR="00382CD6">
        <w:t xml:space="preserve"> in the San Juan River basin and adjacent watersheds</w:t>
      </w:r>
      <w:r>
        <w:t xml:space="preserve">. </w:t>
      </w:r>
    </w:p>
    <w:p w14:paraId="5D6711A6" w14:textId="77777777" w:rsidR="008765A9" w:rsidRDefault="00F71B22" w:rsidP="0076021D">
      <w:pPr>
        <w:pStyle w:val="ListParagraph"/>
        <w:numPr>
          <w:ilvl w:val="0"/>
          <w:numId w:val="31"/>
        </w:numPr>
        <w:autoSpaceDE w:val="0"/>
        <w:autoSpaceDN w:val="0"/>
        <w:adjustRightInd w:val="0"/>
      </w:pPr>
      <w:r>
        <w:t xml:space="preserve">The </w:t>
      </w:r>
      <w:r w:rsidR="008765A9">
        <w:t>uncalibrated PRMS model was found to under predict the water budget at key stream gages along the San Juan River.</w:t>
      </w:r>
    </w:p>
    <w:p w14:paraId="561CF5C1" w14:textId="32C8F051" w:rsidR="008D2E90" w:rsidRDefault="00382CD6" w:rsidP="0076021D">
      <w:pPr>
        <w:pStyle w:val="ListParagraph"/>
        <w:numPr>
          <w:ilvl w:val="0"/>
          <w:numId w:val="31"/>
        </w:numPr>
        <w:autoSpaceDE w:val="0"/>
        <w:autoSpaceDN w:val="0"/>
        <w:adjustRightInd w:val="0"/>
      </w:pPr>
      <w:r>
        <w:t>A preliminary calibration of PRMS for matching the overall water budget is complete.</w:t>
      </w:r>
    </w:p>
    <w:p w14:paraId="300CCEE5" w14:textId="77777777" w:rsidR="008D2E90" w:rsidRDefault="008D2E90" w:rsidP="003C794E">
      <w:pPr>
        <w:autoSpaceDE w:val="0"/>
        <w:autoSpaceDN w:val="0"/>
        <w:adjustRightInd w:val="0"/>
      </w:pPr>
    </w:p>
    <w:p w14:paraId="71E9973E" w14:textId="77777777" w:rsidR="00507801" w:rsidRDefault="00D54F3C" w:rsidP="00630893">
      <w:pPr>
        <w:pStyle w:val="NormalWeb"/>
        <w:spacing w:after="0" w:afterAutospacing="0"/>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D3724A">
        <w:rPr>
          <w:rStyle w:val="Strong"/>
        </w:rPr>
        <w:t>8</w:t>
      </w:r>
    </w:p>
    <w:p w14:paraId="295C1492" w14:textId="77777777" w:rsidR="00D54F3C" w:rsidRDefault="00D54F3C" w:rsidP="00630893">
      <w:pPr>
        <w:pStyle w:val="NormalWeb"/>
        <w:spacing w:before="0" w:beforeAutospacing="0"/>
      </w:pPr>
      <w:r>
        <w:t xml:space="preserve">Please submit a </w:t>
      </w:r>
      <w:r w:rsidR="007B17A1">
        <w:rPr>
          <w:u w:val="single"/>
        </w:rPr>
        <w:t xml:space="preserve">summary </w:t>
      </w:r>
      <w:r w:rsidR="00507801">
        <w:t>work</w:t>
      </w:r>
      <w:r w:rsidR="00F3700B">
        <w:t xml:space="preserve"> </w:t>
      </w:r>
      <w:r w:rsidR="001C70F8">
        <w:t xml:space="preserve">plan for FY </w:t>
      </w:r>
      <w:r w:rsidR="008A0764">
        <w:t>201</w:t>
      </w:r>
      <w:r w:rsidR="00D3724A">
        <w:t>8</w:t>
      </w:r>
      <w:r>
        <w:t xml:space="preserve"> project activities. It should </w:t>
      </w:r>
      <w:r w:rsidR="00F376A7">
        <w:t>state the overall</w:t>
      </w:r>
      <w:r>
        <w:t xml:space="preserve"> </w:t>
      </w:r>
      <w:r w:rsidR="00507801">
        <w:t xml:space="preserve">project </w:t>
      </w:r>
      <w:r w:rsidR="00125193">
        <w:rPr>
          <w:rStyle w:val="Emphasis"/>
          <w:bCs/>
          <w:i w:val="0"/>
        </w:rPr>
        <w:t>o</w:t>
      </w:r>
      <w:r w:rsidRPr="00125193">
        <w:rPr>
          <w:rStyle w:val="Emphasis"/>
          <w:bCs/>
          <w:i w:val="0"/>
        </w:rPr>
        <w:t>bjectives</w:t>
      </w:r>
      <w:r w:rsidR="00507801">
        <w:rPr>
          <w:rStyle w:val="Emphasis"/>
          <w:b/>
          <w:bCs/>
        </w:rPr>
        <w:t xml:space="preserve"> </w:t>
      </w:r>
      <w:r w:rsidR="00507801">
        <w:t>and the</w:t>
      </w:r>
      <w:r w:rsidR="00F376A7">
        <w:t>n summarize the</w:t>
      </w:r>
      <w:r w:rsidR="00507801">
        <w:t xml:space="preserve"> </w:t>
      </w:r>
      <w:r w:rsidR="00125193">
        <w:rPr>
          <w:rStyle w:val="Emphasis"/>
          <w:bCs/>
          <w:i w:val="0"/>
        </w:rPr>
        <w:t>a</w:t>
      </w:r>
      <w:r w:rsidR="00507801" w:rsidRPr="00125193">
        <w:rPr>
          <w:rStyle w:val="Emphasis"/>
          <w:bCs/>
          <w:i w:val="0"/>
        </w:rPr>
        <w:t>pproach</w:t>
      </w:r>
      <w:r w:rsidR="001C70F8" w:rsidRPr="00125193">
        <w:rPr>
          <w:rStyle w:val="Emphasis"/>
          <w:bCs/>
          <w:i w:val="0"/>
        </w:rPr>
        <w:t xml:space="preserve"> </w:t>
      </w:r>
      <w:r w:rsidR="00125193">
        <w:rPr>
          <w:rStyle w:val="Emphasis"/>
          <w:bCs/>
          <w:i w:val="0"/>
        </w:rPr>
        <w:t>and a</w:t>
      </w:r>
      <w:r w:rsidRPr="00125193">
        <w:rPr>
          <w:rStyle w:val="Emphasis"/>
          <w:bCs/>
          <w:i w:val="0"/>
        </w:rPr>
        <w:t>ctivities</w:t>
      </w:r>
      <w:r>
        <w:rPr>
          <w:rStyle w:val="Emphasis"/>
          <w:b/>
          <w:bCs/>
        </w:rPr>
        <w:t xml:space="preserve"> </w:t>
      </w:r>
      <w:r>
        <w:t>planned</w:t>
      </w:r>
      <w:r w:rsidR="00F376A7">
        <w:t xml:space="preserve"> for FY1</w:t>
      </w:r>
      <w:r w:rsidR="00D3724A">
        <w:t xml:space="preserve">8 </w:t>
      </w:r>
      <w:r>
        <w:t xml:space="preserve">to achieve those objectives. Highlight major departures from previous </w:t>
      </w:r>
      <w:r w:rsidR="00767313">
        <w:t xml:space="preserve">approved </w:t>
      </w:r>
      <w:r>
        <w:t>plans</w:t>
      </w:r>
      <w:r w:rsidR="00767313">
        <w:t xml:space="preserve"> and from previously agreed upon budget targets</w:t>
      </w:r>
      <w:r>
        <w:t xml:space="preserve">. </w:t>
      </w:r>
      <w:r w:rsidR="00507801">
        <w:t xml:space="preserve">Identify major products and include anything </w:t>
      </w:r>
      <w:r w:rsidR="007B17A1">
        <w:t>WAUSP</w:t>
      </w:r>
      <w:r w:rsidR="00C163F4">
        <w:t xml:space="preserve"> management should</w:t>
      </w:r>
      <w:r w:rsidR="00507801">
        <w:t xml:space="preserve"> know.</w:t>
      </w:r>
    </w:p>
    <w:p w14:paraId="4C8DE002" w14:textId="77777777" w:rsidR="000C5403" w:rsidRDefault="000C5403" w:rsidP="00630893">
      <w:pPr>
        <w:pStyle w:val="NormalWeb"/>
        <w:spacing w:before="0" w:beforeAutospacing="0" w:after="0" w:afterAutospacing="0"/>
      </w:pPr>
      <w:r>
        <w:t>Provide generalized budget for proposed work</w:t>
      </w:r>
      <w:r w:rsidR="00385D20">
        <w:t xml:space="preserve"> </w:t>
      </w:r>
      <w:r w:rsidR="000A4E2F">
        <w:t xml:space="preserve">plan providing a breakdown for the total budget requested earlier this summer. The summary budget should </w:t>
      </w:r>
      <w:r w:rsidR="00630893">
        <w:t xml:space="preserve">show </w:t>
      </w:r>
      <w:r w:rsidR="000A4E2F">
        <w:t>that the tasked proposed for FY1</w:t>
      </w:r>
      <w:r w:rsidR="00D3724A">
        <w:t>8</w:t>
      </w:r>
      <w:r w:rsidR="000A4E2F">
        <w:t xml:space="preserve"> are realistically supported.</w:t>
      </w:r>
    </w:p>
    <w:p w14:paraId="79D784B0" w14:textId="77777777" w:rsidR="000C5403" w:rsidRPr="005522D5" w:rsidRDefault="00302713"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Salary</w:t>
      </w:r>
      <w:r w:rsidR="000C5403" w:rsidRPr="005522D5">
        <w:rPr>
          <w:rFonts w:ascii="Arial" w:hAnsi="Arial" w:cs="Arial"/>
          <w:color w:val="000000"/>
        </w:rPr>
        <w:t xml:space="preserve"> </w:t>
      </w:r>
    </w:p>
    <w:p w14:paraId="5C0A5D94" w14:textId="77777777"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 xml:space="preserve">Equipment/supplies (list </w:t>
      </w:r>
      <w:r w:rsidR="005522D5">
        <w:rPr>
          <w:rFonts w:ascii="Arial" w:hAnsi="Arial" w:cs="Arial"/>
          <w:color w:val="000000"/>
        </w:rPr>
        <w:t xml:space="preserve">only </w:t>
      </w:r>
      <w:r w:rsidRPr="005522D5">
        <w:rPr>
          <w:rFonts w:ascii="Arial" w:hAnsi="Arial" w:cs="Arial"/>
          <w:color w:val="000000"/>
        </w:rPr>
        <w:t>major items)</w:t>
      </w:r>
    </w:p>
    <w:p w14:paraId="14B4EA88" w14:textId="77777777"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Contracts (identify)</w:t>
      </w:r>
    </w:p>
    <w:p w14:paraId="7B962F3B" w14:textId="77777777"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Publications</w:t>
      </w:r>
    </w:p>
    <w:p w14:paraId="4B9EE3BE" w14:textId="77777777" w:rsidR="000C5403" w:rsidRPr="00302713"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rPr>
        <w:t>Travel</w:t>
      </w:r>
    </w:p>
    <w:p w14:paraId="2993CCDC" w14:textId="77777777" w:rsidR="00302713" w:rsidRPr="008901B7" w:rsidRDefault="00302713"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rPr>
        <w:t>Provide the total funding broken out by cost center so that the program can allocate the funding appropriately.</w:t>
      </w:r>
    </w:p>
    <w:p w14:paraId="2626EFC9" w14:textId="77777777" w:rsidR="008901B7" w:rsidRDefault="008901B7" w:rsidP="008901B7">
      <w:pPr>
        <w:autoSpaceDE w:val="0"/>
        <w:autoSpaceDN w:val="0"/>
        <w:adjustRightInd w:val="0"/>
        <w:ind w:left="360"/>
        <w:rPr>
          <w:b/>
          <w:bCs/>
        </w:rPr>
      </w:pPr>
    </w:p>
    <w:p w14:paraId="3EC9C005" w14:textId="77777777" w:rsidR="008901B7" w:rsidRPr="00B07C54" w:rsidRDefault="008901B7" w:rsidP="008901B7">
      <w:pPr>
        <w:autoSpaceDE w:val="0"/>
        <w:autoSpaceDN w:val="0"/>
        <w:adjustRightInd w:val="0"/>
        <w:rPr>
          <w:b/>
          <w:bCs/>
          <w:sz w:val="28"/>
          <w:szCs w:val="28"/>
        </w:rPr>
      </w:pPr>
      <w:r w:rsidRPr="00B07C54">
        <w:rPr>
          <w:b/>
          <w:bCs/>
          <w:sz w:val="28"/>
          <w:szCs w:val="28"/>
        </w:rPr>
        <w:t>Colorado Plateaus Water Availability Pilot Study FY 2018 Workplan</w:t>
      </w:r>
      <w:r w:rsidR="00B07C54" w:rsidRPr="00B07C54">
        <w:rPr>
          <w:b/>
          <w:bCs/>
          <w:sz w:val="28"/>
          <w:szCs w:val="28"/>
        </w:rPr>
        <w:t xml:space="preserve"> and Budget</w:t>
      </w:r>
    </w:p>
    <w:p w14:paraId="5CD85D07" w14:textId="77777777" w:rsidR="00B07C54" w:rsidRDefault="00B07C54" w:rsidP="008901B7">
      <w:pPr>
        <w:autoSpaceDE w:val="0"/>
        <w:autoSpaceDN w:val="0"/>
        <w:adjustRightInd w:val="0"/>
        <w:rPr>
          <w:b/>
          <w:bCs/>
        </w:rPr>
      </w:pPr>
    </w:p>
    <w:p w14:paraId="7375ADE1" w14:textId="77777777" w:rsidR="008901B7" w:rsidRPr="008901B7" w:rsidRDefault="008901B7" w:rsidP="008901B7">
      <w:pPr>
        <w:autoSpaceDE w:val="0"/>
        <w:autoSpaceDN w:val="0"/>
        <w:adjustRightInd w:val="0"/>
        <w:rPr>
          <w:b/>
          <w:bCs/>
        </w:rPr>
      </w:pPr>
      <w:r w:rsidRPr="008901B7">
        <w:rPr>
          <w:b/>
          <w:bCs/>
        </w:rPr>
        <w:t>Objectives</w:t>
      </w:r>
    </w:p>
    <w:p w14:paraId="049C96DD" w14:textId="77777777" w:rsidR="008901B7" w:rsidRDefault="008901B7" w:rsidP="008901B7">
      <w:pPr>
        <w:autoSpaceDE w:val="0"/>
        <w:autoSpaceDN w:val="0"/>
        <w:adjustRightInd w:val="0"/>
      </w:pPr>
      <w:r>
        <w:t xml:space="preserve">The objectives of the pilot study </w:t>
      </w:r>
      <w:r w:rsidR="00382CD6">
        <w:t xml:space="preserve">in FY18 </w:t>
      </w:r>
      <w:r>
        <w:t>are to:</w:t>
      </w:r>
    </w:p>
    <w:p w14:paraId="06545529" w14:textId="79C06C30" w:rsidR="008901B7" w:rsidRDefault="00382CD6" w:rsidP="008901B7">
      <w:pPr>
        <w:pStyle w:val="ListParagraph"/>
        <w:numPr>
          <w:ilvl w:val="0"/>
          <w:numId w:val="21"/>
        </w:numPr>
        <w:autoSpaceDE w:val="0"/>
        <w:autoSpaceDN w:val="0"/>
        <w:adjustRightInd w:val="0"/>
      </w:pPr>
      <w:r>
        <w:t>Identify a</w:t>
      </w:r>
      <w:r w:rsidR="008901B7">
        <w:t xml:space="preserve"> technical</w:t>
      </w:r>
      <w:r>
        <w:t>ly</w:t>
      </w:r>
      <w:r w:rsidR="008901B7">
        <w:t xml:space="preserve"> </w:t>
      </w:r>
      <w:r>
        <w:t>feasible approach for simulating an integrated groundwater and surface water system in the San Juan River Basin and the entire Colorado Plateau aquifer system using</w:t>
      </w:r>
      <w:r w:rsidR="008901B7">
        <w:t xml:space="preserve"> GSFLOW;</w:t>
      </w:r>
    </w:p>
    <w:p w14:paraId="6C53B433" w14:textId="66036D0A" w:rsidR="00356AAE" w:rsidRPr="0076021D" w:rsidRDefault="008901B7" w:rsidP="00356AAE">
      <w:pPr>
        <w:pStyle w:val="ListParagraph"/>
        <w:numPr>
          <w:ilvl w:val="0"/>
          <w:numId w:val="21"/>
        </w:numPr>
        <w:autoSpaceDE w:val="0"/>
        <w:autoSpaceDN w:val="0"/>
        <w:adjustRightInd w:val="0"/>
        <w:spacing w:line="240" w:lineRule="atLeast"/>
        <w:rPr>
          <w:rFonts w:ascii="Arial" w:hAnsi="Arial" w:cs="Arial"/>
          <w:color w:val="000000"/>
        </w:rPr>
      </w:pPr>
      <w:r>
        <w:t xml:space="preserve">Evaluate the benefits of simulating an integrated groundwater and surface-water </w:t>
      </w:r>
      <w:r w:rsidR="00356AAE">
        <w:t>on water budgets and the timing of groundwater and surface water responses to pumping and recharge.</w:t>
      </w:r>
    </w:p>
    <w:p w14:paraId="6234EC1B" w14:textId="77777777" w:rsidR="00404EDD" w:rsidRDefault="00404EDD" w:rsidP="008901B7">
      <w:pPr>
        <w:autoSpaceDE w:val="0"/>
        <w:autoSpaceDN w:val="0"/>
        <w:adjustRightInd w:val="0"/>
        <w:rPr>
          <w:b/>
          <w:bCs/>
        </w:rPr>
      </w:pPr>
    </w:p>
    <w:p w14:paraId="2352B116" w14:textId="77777777" w:rsidR="008901B7" w:rsidRPr="008901B7" w:rsidRDefault="008901B7" w:rsidP="008901B7">
      <w:pPr>
        <w:autoSpaceDE w:val="0"/>
        <w:autoSpaceDN w:val="0"/>
        <w:adjustRightInd w:val="0"/>
        <w:rPr>
          <w:b/>
          <w:bCs/>
        </w:rPr>
      </w:pPr>
      <w:r w:rsidRPr="008901B7">
        <w:rPr>
          <w:b/>
          <w:bCs/>
        </w:rPr>
        <w:t>Approach</w:t>
      </w:r>
    </w:p>
    <w:p w14:paraId="36605456" w14:textId="05A34764" w:rsidR="008901B7" w:rsidRDefault="008901B7" w:rsidP="008901B7">
      <w:pPr>
        <w:autoSpaceDE w:val="0"/>
        <w:autoSpaceDN w:val="0"/>
        <w:adjustRightInd w:val="0"/>
      </w:pPr>
      <w:r>
        <w:t>Th</w:t>
      </w:r>
      <w:r w:rsidR="00356AAE">
        <w:t>e</w:t>
      </w:r>
      <w:r>
        <w:t xml:space="preserve"> pilot study will be conducted through several tasks to be completed over 18 months</w:t>
      </w:r>
      <w:r w:rsidR="008D2E90">
        <w:t xml:space="preserve"> </w:t>
      </w:r>
      <w:r w:rsidR="00356AAE">
        <w:t>in</w:t>
      </w:r>
      <w:r w:rsidR="008D2E90">
        <w:t xml:space="preserve"> FY17 and F718</w:t>
      </w:r>
      <w:r>
        <w:t xml:space="preserve">. These tasks are outlined below. We will evaluate the feasibility of the GSFLOW modeling approach throughout the pilot study. This continuous evaluation may require several iterations of tasks 2, 3, and 4. As the study progresses and at the end of </w:t>
      </w:r>
      <w:r>
        <w:lastRenderedPageBreak/>
        <w:t>the study, we will assess whether we think the GSFLOW model can be extended across the entire UCRB for incorporation into the larger water availability study, or if a different approach is needed. Products/publications for the pilot phase of the study will also be determined at the end of the pilot study.</w:t>
      </w:r>
    </w:p>
    <w:p w14:paraId="28903BB0" w14:textId="77777777" w:rsidR="008901B7" w:rsidRDefault="008901B7" w:rsidP="008901B7">
      <w:pPr>
        <w:autoSpaceDE w:val="0"/>
        <w:autoSpaceDN w:val="0"/>
        <w:adjustRightInd w:val="0"/>
      </w:pPr>
    </w:p>
    <w:p w14:paraId="404E9D9D" w14:textId="77777777" w:rsidR="008901B7" w:rsidRDefault="008901B7" w:rsidP="008901B7">
      <w:pPr>
        <w:autoSpaceDE w:val="0"/>
        <w:autoSpaceDN w:val="0"/>
        <w:adjustRightInd w:val="0"/>
        <w:rPr>
          <w:b/>
          <w:bCs/>
        </w:rPr>
      </w:pPr>
      <w:r>
        <w:rPr>
          <w:b/>
          <w:bCs/>
        </w:rPr>
        <w:t>Task 1: Continue to compile data for model construction, calibration, and evaluation</w:t>
      </w:r>
    </w:p>
    <w:p w14:paraId="23015F3D" w14:textId="77777777" w:rsidR="008901B7" w:rsidRDefault="008901B7" w:rsidP="008901B7">
      <w:pPr>
        <w:pStyle w:val="ListParagraph"/>
        <w:numPr>
          <w:ilvl w:val="0"/>
          <w:numId w:val="22"/>
        </w:numPr>
        <w:autoSpaceDE w:val="0"/>
        <w:autoSpaceDN w:val="0"/>
        <w:adjustRightInd w:val="0"/>
      </w:pPr>
      <w:r>
        <w:t>Compile data from existing publications and databases including:</w:t>
      </w:r>
    </w:p>
    <w:p w14:paraId="06AF5A6A" w14:textId="77777777" w:rsidR="008901B7" w:rsidRDefault="008901B7" w:rsidP="008901B7">
      <w:pPr>
        <w:pStyle w:val="ListParagraph"/>
        <w:numPr>
          <w:ilvl w:val="1"/>
          <w:numId w:val="22"/>
        </w:numPr>
        <w:autoSpaceDE w:val="0"/>
        <w:autoSpaceDN w:val="0"/>
        <w:adjustRightInd w:val="0"/>
      </w:pPr>
      <w:r>
        <w:t>state variables, such as groundwater levels, surface-water flows, discharge to springs, evapotranspiration estimate, baseflow estimates;</w:t>
      </w:r>
    </w:p>
    <w:p w14:paraId="102C5147" w14:textId="77777777" w:rsidR="008901B7" w:rsidRDefault="008901B7" w:rsidP="008901B7">
      <w:pPr>
        <w:pStyle w:val="ListParagraph"/>
        <w:numPr>
          <w:ilvl w:val="1"/>
          <w:numId w:val="22"/>
        </w:numPr>
        <w:autoSpaceDE w:val="0"/>
        <w:autoSpaceDN w:val="0"/>
        <w:adjustRightInd w:val="0"/>
      </w:pPr>
      <w:r>
        <w:t>fixed characteristics, such as hydraulic conductivity and storage of the various hydrogeologic units;</w:t>
      </w:r>
    </w:p>
    <w:p w14:paraId="0F36D030" w14:textId="77777777" w:rsidR="008901B7" w:rsidRDefault="008901B7" w:rsidP="008901B7">
      <w:pPr>
        <w:pStyle w:val="ListParagraph"/>
        <w:numPr>
          <w:ilvl w:val="1"/>
          <w:numId w:val="22"/>
        </w:numPr>
        <w:autoSpaceDE w:val="0"/>
        <w:autoSpaceDN w:val="0"/>
        <w:adjustRightInd w:val="0"/>
      </w:pPr>
      <w:r>
        <w:t>water-use information (groundwater and surface water withdrawals and diversions).</w:t>
      </w:r>
    </w:p>
    <w:p w14:paraId="44DD682D" w14:textId="77777777" w:rsidR="008901B7" w:rsidRDefault="008901B7" w:rsidP="008901B7">
      <w:pPr>
        <w:pStyle w:val="ListParagraph"/>
        <w:numPr>
          <w:ilvl w:val="0"/>
          <w:numId w:val="22"/>
        </w:numPr>
        <w:autoSpaceDE w:val="0"/>
        <w:autoSpaceDN w:val="0"/>
        <w:adjustRightInd w:val="0"/>
      </w:pPr>
      <w:r>
        <w:t>Compile width, slope, roughness coefficients, depth, gaged streamflows, stage, baseflow estimates, thickness of streambed, streambed hydraulic conductivity for input to Streamflow-Routing (SFR) package.</w:t>
      </w:r>
    </w:p>
    <w:p w14:paraId="7CF25CA9" w14:textId="77777777" w:rsidR="008901B7" w:rsidRDefault="008901B7" w:rsidP="008901B7">
      <w:pPr>
        <w:pStyle w:val="ListParagraph"/>
        <w:numPr>
          <w:ilvl w:val="0"/>
          <w:numId w:val="22"/>
        </w:numPr>
        <w:autoSpaceDE w:val="0"/>
        <w:autoSpaceDN w:val="0"/>
        <w:adjustRightInd w:val="0"/>
      </w:pPr>
      <w:r>
        <w:t>Compile information for Unsaturated-Zone Flow (UZF) package – soil/water properties (water content, pressure head, hydraulic conductivity); only needed if lagged response needs to be simulated between PRMS and MODFLOW.</w:t>
      </w:r>
    </w:p>
    <w:p w14:paraId="78D9C92F" w14:textId="77777777" w:rsidR="008901B7" w:rsidRDefault="008901B7" w:rsidP="008901B7">
      <w:pPr>
        <w:autoSpaceDE w:val="0"/>
        <w:autoSpaceDN w:val="0"/>
        <w:adjustRightInd w:val="0"/>
        <w:rPr>
          <w:b/>
          <w:bCs/>
        </w:rPr>
      </w:pPr>
    </w:p>
    <w:p w14:paraId="560811C6" w14:textId="77777777" w:rsidR="008901B7" w:rsidRDefault="008901B7" w:rsidP="008901B7">
      <w:pPr>
        <w:autoSpaceDE w:val="0"/>
        <w:autoSpaceDN w:val="0"/>
        <w:adjustRightInd w:val="0"/>
        <w:rPr>
          <w:b/>
          <w:bCs/>
        </w:rPr>
      </w:pPr>
      <w:r>
        <w:rPr>
          <w:b/>
          <w:bCs/>
        </w:rPr>
        <w:t>Task 2: Continue to construct MODFLOW and PRMS inputs to GSFLOW model</w:t>
      </w:r>
    </w:p>
    <w:p w14:paraId="0E9EC2F5" w14:textId="77777777" w:rsidR="008901B7" w:rsidRDefault="008901B7" w:rsidP="008901B7">
      <w:pPr>
        <w:pStyle w:val="ListParagraph"/>
        <w:numPr>
          <w:ilvl w:val="0"/>
          <w:numId w:val="25"/>
        </w:numPr>
        <w:autoSpaceDE w:val="0"/>
        <w:autoSpaceDN w:val="0"/>
        <w:adjustRightInd w:val="0"/>
      </w:pPr>
      <w:r>
        <w:t>Convert drains in existing UCRB model to streams using the SFR package (use GSFLOW Arc-Python scripts developed by Murphy Gardner and Rich Niswonger to develop SFR inputs).</w:t>
      </w:r>
    </w:p>
    <w:p w14:paraId="7BA9E54D" w14:textId="77777777" w:rsidR="008901B7" w:rsidRDefault="008901B7" w:rsidP="008901B7">
      <w:pPr>
        <w:pStyle w:val="ListParagraph"/>
        <w:numPr>
          <w:ilvl w:val="0"/>
          <w:numId w:val="25"/>
        </w:numPr>
        <w:autoSpaceDE w:val="0"/>
        <w:autoSpaceDN w:val="0"/>
        <w:adjustRightInd w:val="0"/>
      </w:pPr>
      <w:r>
        <w:t>Update existing UCRB model to include springs and evapotranspiration.</w:t>
      </w:r>
    </w:p>
    <w:p w14:paraId="3FCEB2EF" w14:textId="77777777" w:rsidR="008901B7" w:rsidRDefault="008901B7" w:rsidP="008901B7">
      <w:pPr>
        <w:pStyle w:val="ListParagraph"/>
        <w:numPr>
          <w:ilvl w:val="0"/>
          <w:numId w:val="25"/>
        </w:numPr>
        <w:autoSpaceDE w:val="0"/>
        <w:autoSpaceDN w:val="0"/>
        <w:adjustRightInd w:val="0"/>
      </w:pPr>
      <w:r>
        <w:t>Update MODFLOW model to include well withdrawals.</w:t>
      </w:r>
    </w:p>
    <w:p w14:paraId="77B34D51" w14:textId="77777777" w:rsidR="008901B7" w:rsidRDefault="008901B7" w:rsidP="008901B7">
      <w:pPr>
        <w:pStyle w:val="ListParagraph"/>
        <w:numPr>
          <w:ilvl w:val="0"/>
          <w:numId w:val="25"/>
        </w:numPr>
        <w:autoSpaceDE w:val="0"/>
        <w:autoSpaceDN w:val="0"/>
        <w:adjustRightInd w:val="0"/>
      </w:pPr>
      <w:r>
        <w:t>Map outputs of PRMS model to MODFLOW model grid-cell size for input; for uncoupled approach, may need to generate a script that will automatically re-map the PRMS outputs to the MODFLOW grid for easier facilitation of running and testing the model, especially during the calibration phase. For coupled approach, this is done directly in GSFLOW.</w:t>
      </w:r>
    </w:p>
    <w:p w14:paraId="34AA1C1B" w14:textId="77777777" w:rsidR="008901B7" w:rsidRDefault="008901B7" w:rsidP="008901B7">
      <w:pPr>
        <w:pStyle w:val="ListParagraph"/>
        <w:numPr>
          <w:ilvl w:val="0"/>
          <w:numId w:val="25"/>
        </w:numPr>
        <w:autoSpaceDE w:val="0"/>
        <w:autoSpaceDN w:val="0"/>
        <w:adjustRightInd w:val="0"/>
      </w:pPr>
      <w:r>
        <w:t>Use model to test different conceptsof construction such as:</w:t>
      </w:r>
    </w:p>
    <w:p w14:paraId="7D04FF10" w14:textId="77777777" w:rsidR="008901B7" w:rsidRDefault="008901B7" w:rsidP="000630AE">
      <w:pPr>
        <w:pStyle w:val="ListParagraph"/>
        <w:numPr>
          <w:ilvl w:val="1"/>
          <w:numId w:val="25"/>
        </w:numPr>
        <w:autoSpaceDE w:val="0"/>
        <w:autoSpaceDN w:val="0"/>
        <w:adjustRightInd w:val="0"/>
      </w:pPr>
      <w:r>
        <w:t>Decoupled vs. fully coupled PRMS and MODFLOW models;</w:t>
      </w:r>
    </w:p>
    <w:p w14:paraId="43B9FF0D" w14:textId="77777777" w:rsidR="000630AE" w:rsidRDefault="008901B7" w:rsidP="000630AE">
      <w:pPr>
        <w:pStyle w:val="ListParagraph"/>
        <w:numPr>
          <w:ilvl w:val="1"/>
          <w:numId w:val="25"/>
        </w:numPr>
        <w:autoSpaceDE w:val="0"/>
        <w:autoSpaceDN w:val="0"/>
        <w:adjustRightInd w:val="0"/>
      </w:pPr>
      <w:r>
        <w:t>Standard vs. gridded HRUs;</w:t>
      </w:r>
    </w:p>
    <w:p w14:paraId="517A6179" w14:textId="77777777" w:rsidR="008901B7" w:rsidRDefault="008901B7" w:rsidP="000630AE">
      <w:pPr>
        <w:pStyle w:val="ListParagraph"/>
        <w:numPr>
          <w:ilvl w:val="1"/>
          <w:numId w:val="25"/>
        </w:numPr>
        <w:autoSpaceDE w:val="0"/>
        <w:autoSpaceDN w:val="0"/>
        <w:adjustRightInd w:val="0"/>
      </w:pPr>
      <w:r>
        <w:t>Coarse vs. fine spatial and temporal resolution.</w:t>
      </w:r>
    </w:p>
    <w:p w14:paraId="5EFA514C" w14:textId="77777777" w:rsidR="000630AE" w:rsidRDefault="000630AE" w:rsidP="000630AE">
      <w:pPr>
        <w:autoSpaceDE w:val="0"/>
        <w:autoSpaceDN w:val="0"/>
        <w:adjustRightInd w:val="0"/>
        <w:rPr>
          <w:b/>
          <w:bCs/>
        </w:rPr>
      </w:pPr>
    </w:p>
    <w:p w14:paraId="440DB17E" w14:textId="77777777" w:rsidR="000630AE" w:rsidRDefault="000630AE" w:rsidP="000630AE">
      <w:pPr>
        <w:autoSpaceDE w:val="0"/>
        <w:autoSpaceDN w:val="0"/>
        <w:adjustRightInd w:val="0"/>
        <w:rPr>
          <w:b/>
          <w:bCs/>
        </w:rPr>
      </w:pPr>
      <w:r>
        <w:rPr>
          <w:b/>
          <w:bCs/>
        </w:rPr>
        <w:t>Task 3: Calibrate models</w:t>
      </w:r>
    </w:p>
    <w:p w14:paraId="5C5F034B" w14:textId="77777777" w:rsidR="000630AE" w:rsidRDefault="000630AE" w:rsidP="000630AE">
      <w:pPr>
        <w:pStyle w:val="ListParagraph"/>
        <w:numPr>
          <w:ilvl w:val="0"/>
          <w:numId w:val="27"/>
        </w:numPr>
        <w:autoSpaceDE w:val="0"/>
        <w:autoSpaceDN w:val="0"/>
        <w:adjustRightInd w:val="0"/>
      </w:pPr>
      <w:r>
        <w:t>For initial calibration, calibrate PRMS and MODFLOW models separately (likely will aid in reducing run times and require minor adjustments to achieve final model calibration)</w:t>
      </w:r>
    </w:p>
    <w:p w14:paraId="440E29E4" w14:textId="77777777" w:rsidR="000630AE" w:rsidRDefault="000630AE" w:rsidP="000630AE">
      <w:pPr>
        <w:pStyle w:val="ListParagraph"/>
        <w:numPr>
          <w:ilvl w:val="0"/>
          <w:numId w:val="27"/>
        </w:numPr>
        <w:autoSpaceDE w:val="0"/>
        <w:autoSpaceDN w:val="0"/>
        <w:adjustRightInd w:val="0"/>
      </w:pPr>
      <w:r>
        <w:t>For final calibration of the model, couple the models and calibrate simultaneously</w:t>
      </w:r>
    </w:p>
    <w:p w14:paraId="6E69DAE7" w14:textId="77777777" w:rsidR="000630AE" w:rsidRDefault="000630AE" w:rsidP="000630AE">
      <w:pPr>
        <w:autoSpaceDE w:val="0"/>
        <w:autoSpaceDN w:val="0"/>
        <w:adjustRightInd w:val="0"/>
      </w:pPr>
    </w:p>
    <w:p w14:paraId="6DFFD045" w14:textId="77777777" w:rsidR="000630AE" w:rsidRDefault="000630AE" w:rsidP="000630AE">
      <w:pPr>
        <w:autoSpaceDE w:val="0"/>
        <w:autoSpaceDN w:val="0"/>
        <w:adjustRightInd w:val="0"/>
        <w:rPr>
          <w:b/>
          <w:bCs/>
        </w:rPr>
      </w:pPr>
      <w:r>
        <w:rPr>
          <w:b/>
          <w:bCs/>
        </w:rPr>
        <w:t>Task 4: Evaluate model performance and calibration</w:t>
      </w:r>
    </w:p>
    <w:p w14:paraId="09E5C6C1" w14:textId="77777777" w:rsidR="000630AE" w:rsidRDefault="000630AE" w:rsidP="000630AE">
      <w:pPr>
        <w:pStyle w:val="ListParagraph"/>
        <w:numPr>
          <w:ilvl w:val="0"/>
          <w:numId w:val="28"/>
        </w:numPr>
        <w:autoSpaceDE w:val="0"/>
        <w:autoSpaceDN w:val="0"/>
        <w:adjustRightInd w:val="0"/>
      </w:pPr>
      <w:r>
        <w:t>Evaluate the model performance and efficiency of the different constructions of the GSFLOW model (task 2) based on:</w:t>
      </w:r>
    </w:p>
    <w:p w14:paraId="4F068BF1" w14:textId="77777777" w:rsidR="000630AE" w:rsidRDefault="000630AE" w:rsidP="000630AE">
      <w:pPr>
        <w:pStyle w:val="ListParagraph"/>
        <w:numPr>
          <w:ilvl w:val="1"/>
          <w:numId w:val="29"/>
        </w:numPr>
        <w:autoSpaceDE w:val="0"/>
        <w:autoSpaceDN w:val="0"/>
        <w:adjustRightInd w:val="0"/>
      </w:pPr>
      <w:r>
        <w:lastRenderedPageBreak/>
        <w:t>Fidelity of both the simulated values and temporal variability of heads, baseflow, streamflow, and overall water budgets;</w:t>
      </w:r>
    </w:p>
    <w:p w14:paraId="49336E5F" w14:textId="77777777" w:rsidR="000630AE" w:rsidRDefault="000630AE" w:rsidP="000630AE">
      <w:pPr>
        <w:pStyle w:val="ListParagraph"/>
        <w:numPr>
          <w:ilvl w:val="1"/>
          <w:numId w:val="29"/>
        </w:numPr>
        <w:autoSpaceDE w:val="0"/>
        <w:autoSpaceDN w:val="0"/>
        <w:adjustRightInd w:val="0"/>
      </w:pPr>
      <w:r>
        <w:t>Computational time and ability to perform sufficient sensitivity analyses and calibration.</w:t>
      </w:r>
    </w:p>
    <w:p w14:paraId="551E19D6" w14:textId="77777777" w:rsidR="000630AE" w:rsidRDefault="000630AE" w:rsidP="000630AE">
      <w:pPr>
        <w:pStyle w:val="ListParagraph"/>
        <w:numPr>
          <w:ilvl w:val="0"/>
          <w:numId w:val="28"/>
        </w:numPr>
        <w:autoSpaceDE w:val="0"/>
        <w:autoSpaceDN w:val="0"/>
        <w:adjustRightInd w:val="0"/>
      </w:pPr>
      <w:r>
        <w:t>If initial simplified models are not suitable for simulating groundwater/surface-water interaction at this scale, add more complexity to model through:</w:t>
      </w:r>
    </w:p>
    <w:p w14:paraId="7ED21316" w14:textId="77777777" w:rsidR="000630AE" w:rsidRDefault="000630AE" w:rsidP="000630AE">
      <w:pPr>
        <w:pStyle w:val="ListParagraph"/>
        <w:numPr>
          <w:ilvl w:val="1"/>
          <w:numId w:val="28"/>
        </w:numPr>
        <w:autoSpaceDE w:val="0"/>
        <w:autoSpaceDN w:val="0"/>
        <w:adjustRightInd w:val="0"/>
      </w:pPr>
      <w:r>
        <w:t>Increasing spatial and temporal resolution;</w:t>
      </w:r>
    </w:p>
    <w:p w14:paraId="5C3325DB" w14:textId="77777777" w:rsidR="000630AE" w:rsidRDefault="000630AE" w:rsidP="000630AE">
      <w:pPr>
        <w:pStyle w:val="ListParagraph"/>
        <w:numPr>
          <w:ilvl w:val="1"/>
          <w:numId w:val="28"/>
        </w:numPr>
        <w:autoSpaceDE w:val="0"/>
        <w:autoSpaceDN w:val="0"/>
        <w:adjustRightInd w:val="0"/>
      </w:pPr>
      <w:r>
        <w:t>Fully coupling PRMS and MODFLOW.</w:t>
      </w:r>
    </w:p>
    <w:p w14:paraId="31402DEF" w14:textId="77777777" w:rsidR="00404EDD" w:rsidRDefault="00404EDD" w:rsidP="00404EDD">
      <w:pPr>
        <w:autoSpaceDE w:val="0"/>
        <w:autoSpaceDN w:val="0"/>
        <w:adjustRightInd w:val="0"/>
        <w:rPr>
          <w:b/>
          <w:bCs/>
        </w:rPr>
      </w:pPr>
    </w:p>
    <w:p w14:paraId="062EE878" w14:textId="77777777" w:rsidR="00404EDD" w:rsidRDefault="00404EDD" w:rsidP="00404EDD">
      <w:pPr>
        <w:autoSpaceDE w:val="0"/>
        <w:autoSpaceDN w:val="0"/>
        <w:adjustRightInd w:val="0"/>
      </w:pPr>
      <w:r w:rsidRPr="00404EDD">
        <w:rPr>
          <w:b/>
          <w:bCs/>
        </w:rPr>
        <w:t xml:space="preserve">Products: </w:t>
      </w:r>
      <w:r>
        <w:t>No products have been planned for the initial 18 month pilot phase. After the initial phase decisions on future funding and products will be made.</w:t>
      </w:r>
    </w:p>
    <w:p w14:paraId="5098F160" w14:textId="77777777" w:rsidR="00404EDD" w:rsidRDefault="00404EDD" w:rsidP="00404EDD">
      <w:pPr>
        <w:autoSpaceDE w:val="0"/>
        <w:autoSpaceDN w:val="0"/>
        <w:adjustRightInd w:val="0"/>
      </w:pPr>
    </w:p>
    <w:p w14:paraId="1670C90B" w14:textId="77777777" w:rsidR="00404EDD" w:rsidRPr="00B07C54" w:rsidRDefault="00B07C54" w:rsidP="00B07C54">
      <w:pPr>
        <w:autoSpaceDE w:val="0"/>
        <w:autoSpaceDN w:val="0"/>
        <w:adjustRightInd w:val="0"/>
        <w:rPr>
          <w:b/>
        </w:rPr>
      </w:pPr>
      <w:r>
        <w:rPr>
          <w:b/>
        </w:rPr>
        <w:t xml:space="preserve">FY 2018 </w:t>
      </w:r>
      <w:r w:rsidR="00404EDD" w:rsidRPr="00404EDD">
        <w:rPr>
          <w:b/>
        </w:rPr>
        <w:t>Budget</w:t>
      </w:r>
    </w:p>
    <w:tbl>
      <w:tblPr>
        <w:tblW w:w="10060" w:type="dxa"/>
        <w:tblInd w:w="93" w:type="dxa"/>
        <w:tblLook w:val="04A0" w:firstRow="1" w:lastRow="0" w:firstColumn="1" w:lastColumn="0" w:noHBand="0" w:noVBand="1"/>
      </w:tblPr>
      <w:tblGrid>
        <w:gridCol w:w="1940"/>
        <w:gridCol w:w="1180"/>
        <w:gridCol w:w="1300"/>
        <w:gridCol w:w="1180"/>
        <w:gridCol w:w="4460"/>
      </w:tblGrid>
      <w:tr w:rsidR="00404EDD" w:rsidRPr="008E1800" w14:paraId="3B5A139E" w14:textId="77777777" w:rsidTr="00BE489A">
        <w:trPr>
          <w:trHeight w:val="300"/>
        </w:trPr>
        <w:tc>
          <w:tcPr>
            <w:tcW w:w="1940" w:type="dxa"/>
            <w:tcBorders>
              <w:top w:val="single" w:sz="4" w:space="0" w:color="auto"/>
              <w:left w:val="nil"/>
              <w:bottom w:val="single" w:sz="4" w:space="0" w:color="auto"/>
              <w:right w:val="nil"/>
            </w:tcBorders>
            <w:shd w:val="clear" w:color="auto" w:fill="auto"/>
            <w:vAlign w:val="bottom"/>
            <w:hideMark/>
          </w:tcPr>
          <w:p w14:paraId="7FDD6450" w14:textId="77777777" w:rsidR="00404EDD" w:rsidRPr="008E1800" w:rsidRDefault="00404EDD" w:rsidP="00BE489A">
            <w:pPr>
              <w:rPr>
                <w:rFonts w:ascii="Arial" w:hAnsi="Arial" w:cs="Arial"/>
                <w:b/>
                <w:bCs/>
                <w:sz w:val="20"/>
                <w:szCs w:val="20"/>
              </w:rPr>
            </w:pPr>
            <w:r w:rsidRPr="008E1800">
              <w:rPr>
                <w:rFonts w:ascii="Arial" w:hAnsi="Arial" w:cs="Arial"/>
                <w:b/>
                <w:bCs/>
                <w:sz w:val="20"/>
                <w:szCs w:val="20"/>
              </w:rPr>
              <w:t>Employee</w:t>
            </w:r>
          </w:p>
        </w:tc>
        <w:tc>
          <w:tcPr>
            <w:tcW w:w="1180" w:type="dxa"/>
            <w:tcBorders>
              <w:top w:val="single" w:sz="4" w:space="0" w:color="auto"/>
              <w:left w:val="nil"/>
              <w:bottom w:val="single" w:sz="4" w:space="0" w:color="auto"/>
              <w:right w:val="nil"/>
            </w:tcBorders>
            <w:shd w:val="clear" w:color="auto" w:fill="auto"/>
            <w:vAlign w:val="bottom"/>
            <w:hideMark/>
          </w:tcPr>
          <w:p w14:paraId="6B5E4F8A" w14:textId="77777777" w:rsidR="00404EDD" w:rsidRPr="008E1800" w:rsidRDefault="00404EDD" w:rsidP="00BE489A">
            <w:pPr>
              <w:jc w:val="center"/>
              <w:rPr>
                <w:rFonts w:ascii="Arial" w:hAnsi="Arial" w:cs="Arial"/>
                <w:b/>
                <w:bCs/>
                <w:sz w:val="20"/>
                <w:szCs w:val="20"/>
              </w:rPr>
            </w:pPr>
            <w:r w:rsidRPr="008E1800">
              <w:rPr>
                <w:rFonts w:ascii="Arial" w:hAnsi="Arial" w:cs="Arial"/>
                <w:b/>
                <w:bCs/>
                <w:sz w:val="20"/>
                <w:szCs w:val="20"/>
              </w:rPr>
              <w:t>Hourly rate</w:t>
            </w:r>
          </w:p>
        </w:tc>
        <w:tc>
          <w:tcPr>
            <w:tcW w:w="1300" w:type="dxa"/>
            <w:tcBorders>
              <w:top w:val="single" w:sz="4" w:space="0" w:color="auto"/>
              <w:left w:val="nil"/>
              <w:bottom w:val="single" w:sz="4" w:space="0" w:color="auto"/>
              <w:right w:val="nil"/>
            </w:tcBorders>
            <w:shd w:val="clear" w:color="auto" w:fill="auto"/>
            <w:vAlign w:val="bottom"/>
            <w:hideMark/>
          </w:tcPr>
          <w:p w14:paraId="1C1E525A" w14:textId="77777777" w:rsidR="00404EDD" w:rsidRPr="008E1800" w:rsidRDefault="00FB0839" w:rsidP="00BE489A">
            <w:pPr>
              <w:jc w:val="center"/>
              <w:rPr>
                <w:rFonts w:ascii="Arial" w:hAnsi="Arial" w:cs="Arial"/>
                <w:b/>
                <w:bCs/>
                <w:sz w:val="20"/>
                <w:szCs w:val="20"/>
              </w:rPr>
            </w:pPr>
            <w:r>
              <w:rPr>
                <w:rFonts w:ascii="Arial" w:hAnsi="Arial" w:cs="Arial"/>
                <w:b/>
                <w:bCs/>
                <w:sz w:val="20"/>
                <w:szCs w:val="20"/>
              </w:rPr>
              <w:t>E</w:t>
            </w:r>
            <w:r w:rsidR="00404EDD">
              <w:rPr>
                <w:rFonts w:ascii="Arial" w:hAnsi="Arial" w:cs="Arial"/>
                <w:b/>
                <w:bCs/>
                <w:sz w:val="20"/>
                <w:szCs w:val="20"/>
              </w:rPr>
              <w:t>stimated number of hours</w:t>
            </w:r>
          </w:p>
        </w:tc>
        <w:tc>
          <w:tcPr>
            <w:tcW w:w="1180" w:type="dxa"/>
            <w:tcBorders>
              <w:top w:val="single" w:sz="4" w:space="0" w:color="auto"/>
              <w:left w:val="nil"/>
              <w:bottom w:val="single" w:sz="4" w:space="0" w:color="auto"/>
              <w:right w:val="nil"/>
            </w:tcBorders>
            <w:shd w:val="clear" w:color="auto" w:fill="auto"/>
            <w:vAlign w:val="bottom"/>
            <w:hideMark/>
          </w:tcPr>
          <w:p w14:paraId="524A0BDA" w14:textId="77777777" w:rsidR="00404EDD" w:rsidRPr="008E1800" w:rsidRDefault="00404EDD" w:rsidP="00BE489A">
            <w:pPr>
              <w:jc w:val="center"/>
              <w:rPr>
                <w:rFonts w:ascii="Arial" w:hAnsi="Arial" w:cs="Arial"/>
                <w:b/>
                <w:bCs/>
                <w:sz w:val="20"/>
                <w:szCs w:val="20"/>
              </w:rPr>
            </w:pPr>
            <w:r w:rsidRPr="008E1800">
              <w:rPr>
                <w:rFonts w:ascii="Arial" w:hAnsi="Arial" w:cs="Arial"/>
                <w:b/>
                <w:bCs/>
                <w:sz w:val="20"/>
                <w:szCs w:val="20"/>
              </w:rPr>
              <w:t>Gross cost</w:t>
            </w:r>
          </w:p>
        </w:tc>
        <w:tc>
          <w:tcPr>
            <w:tcW w:w="4460" w:type="dxa"/>
            <w:tcBorders>
              <w:top w:val="single" w:sz="4" w:space="0" w:color="auto"/>
              <w:left w:val="nil"/>
              <w:bottom w:val="single" w:sz="4" w:space="0" w:color="auto"/>
              <w:right w:val="nil"/>
            </w:tcBorders>
            <w:shd w:val="clear" w:color="auto" w:fill="auto"/>
            <w:vAlign w:val="bottom"/>
            <w:hideMark/>
          </w:tcPr>
          <w:p w14:paraId="7DB59D22" w14:textId="77777777" w:rsidR="00404EDD" w:rsidRPr="008E1800" w:rsidRDefault="00404EDD" w:rsidP="00BE489A">
            <w:pPr>
              <w:rPr>
                <w:rFonts w:ascii="Arial" w:hAnsi="Arial" w:cs="Arial"/>
                <w:b/>
                <w:bCs/>
                <w:sz w:val="20"/>
                <w:szCs w:val="20"/>
              </w:rPr>
            </w:pPr>
            <w:r w:rsidRPr="008E1800">
              <w:rPr>
                <w:rFonts w:ascii="Arial" w:hAnsi="Arial" w:cs="Arial"/>
                <w:b/>
                <w:bCs/>
                <w:sz w:val="20"/>
                <w:szCs w:val="20"/>
              </w:rPr>
              <w:t> </w:t>
            </w:r>
          </w:p>
        </w:tc>
      </w:tr>
      <w:tr w:rsidR="00404EDD" w:rsidRPr="008E1800" w14:paraId="24FC554B" w14:textId="77777777" w:rsidTr="00FB0839">
        <w:trPr>
          <w:trHeight w:val="300"/>
        </w:trPr>
        <w:tc>
          <w:tcPr>
            <w:tcW w:w="1940" w:type="dxa"/>
            <w:tcBorders>
              <w:top w:val="nil"/>
              <w:left w:val="nil"/>
              <w:bottom w:val="nil"/>
              <w:right w:val="nil"/>
            </w:tcBorders>
            <w:shd w:val="clear" w:color="auto" w:fill="auto"/>
            <w:noWrap/>
            <w:vAlign w:val="bottom"/>
            <w:hideMark/>
          </w:tcPr>
          <w:p w14:paraId="09AF6E64" w14:textId="77777777" w:rsidR="00404EDD" w:rsidRPr="008E1800" w:rsidRDefault="00404EDD" w:rsidP="00BE489A">
            <w:pPr>
              <w:rPr>
                <w:rFonts w:ascii="Arial" w:hAnsi="Arial" w:cs="Arial"/>
                <w:sz w:val="20"/>
                <w:szCs w:val="20"/>
              </w:rPr>
            </w:pPr>
            <w:r w:rsidRPr="008E1800">
              <w:rPr>
                <w:rFonts w:ascii="Arial" w:hAnsi="Arial" w:cs="Arial"/>
                <w:sz w:val="20"/>
                <w:szCs w:val="20"/>
              </w:rPr>
              <w:t>Melissa Masbruch</w:t>
            </w:r>
          </w:p>
        </w:tc>
        <w:tc>
          <w:tcPr>
            <w:tcW w:w="1180" w:type="dxa"/>
            <w:tcBorders>
              <w:top w:val="nil"/>
              <w:left w:val="nil"/>
              <w:bottom w:val="nil"/>
              <w:right w:val="nil"/>
            </w:tcBorders>
            <w:shd w:val="clear" w:color="auto" w:fill="auto"/>
            <w:noWrap/>
            <w:vAlign w:val="bottom"/>
            <w:hideMark/>
          </w:tcPr>
          <w:p w14:paraId="2A2AAB93" w14:textId="77777777" w:rsidR="00404EDD" w:rsidRPr="008E1800" w:rsidRDefault="00404EDD" w:rsidP="00BE489A">
            <w:pPr>
              <w:jc w:val="center"/>
            </w:pPr>
            <w:r w:rsidRPr="008E1800">
              <w:t>42</w:t>
            </w:r>
            <w:r>
              <w:t>.21</w:t>
            </w:r>
          </w:p>
        </w:tc>
        <w:tc>
          <w:tcPr>
            <w:tcW w:w="1300" w:type="dxa"/>
            <w:tcBorders>
              <w:top w:val="nil"/>
              <w:left w:val="nil"/>
              <w:bottom w:val="nil"/>
              <w:right w:val="nil"/>
            </w:tcBorders>
            <w:shd w:val="clear" w:color="auto" w:fill="auto"/>
            <w:noWrap/>
            <w:vAlign w:val="bottom"/>
            <w:hideMark/>
          </w:tcPr>
          <w:p w14:paraId="4204F78D" w14:textId="77777777" w:rsidR="00404EDD" w:rsidRPr="008E1800" w:rsidRDefault="00404EDD" w:rsidP="00BE489A">
            <w:pPr>
              <w:jc w:val="center"/>
              <w:rPr>
                <w:rFonts w:ascii="Arial" w:hAnsi="Arial" w:cs="Arial"/>
                <w:sz w:val="20"/>
                <w:szCs w:val="20"/>
              </w:rPr>
            </w:pPr>
            <w:r>
              <w:rPr>
                <w:rFonts w:ascii="Arial" w:hAnsi="Arial" w:cs="Arial"/>
                <w:sz w:val="20"/>
                <w:szCs w:val="20"/>
              </w:rPr>
              <w:t>850</w:t>
            </w:r>
          </w:p>
        </w:tc>
        <w:tc>
          <w:tcPr>
            <w:tcW w:w="1180" w:type="dxa"/>
            <w:tcBorders>
              <w:top w:val="nil"/>
              <w:left w:val="nil"/>
              <w:bottom w:val="nil"/>
              <w:right w:val="nil"/>
            </w:tcBorders>
            <w:shd w:val="clear" w:color="auto" w:fill="auto"/>
            <w:noWrap/>
            <w:vAlign w:val="bottom"/>
            <w:hideMark/>
          </w:tcPr>
          <w:p w14:paraId="5399AB32" w14:textId="77777777" w:rsidR="00404EDD" w:rsidRPr="008E1800" w:rsidRDefault="00FB0839" w:rsidP="00FB0839">
            <w:pPr>
              <w:jc w:val="right"/>
            </w:pPr>
            <w:r>
              <w:t>51,035</w:t>
            </w:r>
          </w:p>
        </w:tc>
        <w:tc>
          <w:tcPr>
            <w:tcW w:w="4460" w:type="dxa"/>
            <w:vMerge w:val="restart"/>
            <w:tcBorders>
              <w:top w:val="nil"/>
              <w:left w:val="nil"/>
              <w:bottom w:val="nil"/>
              <w:right w:val="nil"/>
            </w:tcBorders>
            <w:shd w:val="clear" w:color="auto" w:fill="auto"/>
            <w:vAlign w:val="center"/>
            <w:hideMark/>
          </w:tcPr>
          <w:p w14:paraId="4949883D" w14:textId="77777777" w:rsidR="00404EDD" w:rsidRPr="008E1800" w:rsidRDefault="00404EDD" w:rsidP="00BE489A">
            <w:pPr>
              <w:rPr>
                <w:rFonts w:ascii="Arial" w:hAnsi="Arial" w:cs="Arial"/>
                <w:sz w:val="20"/>
                <w:szCs w:val="20"/>
              </w:rPr>
            </w:pPr>
            <w:r w:rsidRPr="008E1800">
              <w:rPr>
                <w:rFonts w:ascii="Arial" w:hAnsi="Arial" w:cs="Arial"/>
                <w:sz w:val="20"/>
                <w:szCs w:val="20"/>
              </w:rPr>
              <w:t>salary</w:t>
            </w:r>
          </w:p>
        </w:tc>
      </w:tr>
      <w:tr w:rsidR="00404EDD" w:rsidRPr="008E1800" w14:paraId="28E3FBF3" w14:textId="77777777" w:rsidTr="00FB0839">
        <w:trPr>
          <w:trHeight w:val="300"/>
        </w:trPr>
        <w:tc>
          <w:tcPr>
            <w:tcW w:w="1940" w:type="dxa"/>
            <w:tcBorders>
              <w:top w:val="nil"/>
              <w:left w:val="nil"/>
              <w:bottom w:val="nil"/>
              <w:right w:val="nil"/>
            </w:tcBorders>
            <w:shd w:val="clear" w:color="auto" w:fill="auto"/>
            <w:noWrap/>
            <w:vAlign w:val="bottom"/>
            <w:hideMark/>
          </w:tcPr>
          <w:p w14:paraId="7F60DC82" w14:textId="77777777" w:rsidR="00404EDD" w:rsidRPr="008E1800" w:rsidRDefault="00404EDD" w:rsidP="00BE489A">
            <w:pPr>
              <w:rPr>
                <w:rFonts w:ascii="Arial" w:hAnsi="Arial" w:cs="Arial"/>
                <w:sz w:val="20"/>
                <w:szCs w:val="20"/>
              </w:rPr>
            </w:pPr>
            <w:r w:rsidRPr="008E1800">
              <w:rPr>
                <w:rFonts w:ascii="Arial" w:hAnsi="Arial" w:cs="Arial"/>
                <w:sz w:val="20"/>
                <w:szCs w:val="20"/>
              </w:rPr>
              <w:t>Jesse Dickinson</w:t>
            </w:r>
          </w:p>
        </w:tc>
        <w:tc>
          <w:tcPr>
            <w:tcW w:w="1180" w:type="dxa"/>
            <w:tcBorders>
              <w:top w:val="nil"/>
              <w:left w:val="nil"/>
              <w:bottom w:val="nil"/>
              <w:right w:val="nil"/>
            </w:tcBorders>
            <w:shd w:val="clear" w:color="auto" w:fill="auto"/>
            <w:noWrap/>
            <w:vAlign w:val="bottom"/>
            <w:hideMark/>
          </w:tcPr>
          <w:p w14:paraId="41F86542" w14:textId="77777777" w:rsidR="00404EDD" w:rsidRPr="008E1800" w:rsidRDefault="00404EDD" w:rsidP="00BE489A">
            <w:pPr>
              <w:jc w:val="center"/>
            </w:pPr>
            <w:r>
              <w:t>58.11</w:t>
            </w:r>
          </w:p>
        </w:tc>
        <w:tc>
          <w:tcPr>
            <w:tcW w:w="1300" w:type="dxa"/>
            <w:tcBorders>
              <w:top w:val="nil"/>
              <w:left w:val="nil"/>
              <w:bottom w:val="nil"/>
              <w:right w:val="nil"/>
            </w:tcBorders>
            <w:shd w:val="clear" w:color="auto" w:fill="auto"/>
            <w:noWrap/>
            <w:vAlign w:val="bottom"/>
            <w:hideMark/>
          </w:tcPr>
          <w:p w14:paraId="71515C88" w14:textId="77777777" w:rsidR="00404EDD" w:rsidRPr="008E1800" w:rsidRDefault="00404EDD" w:rsidP="00BE489A">
            <w:pPr>
              <w:jc w:val="center"/>
              <w:rPr>
                <w:rFonts w:ascii="Arial" w:hAnsi="Arial" w:cs="Arial"/>
                <w:sz w:val="20"/>
                <w:szCs w:val="20"/>
              </w:rPr>
            </w:pPr>
            <w:r>
              <w:rPr>
                <w:rFonts w:ascii="Arial" w:hAnsi="Arial" w:cs="Arial"/>
                <w:sz w:val="20"/>
                <w:szCs w:val="20"/>
              </w:rPr>
              <w:t>600</w:t>
            </w:r>
          </w:p>
        </w:tc>
        <w:tc>
          <w:tcPr>
            <w:tcW w:w="1180" w:type="dxa"/>
            <w:tcBorders>
              <w:top w:val="nil"/>
              <w:left w:val="nil"/>
              <w:bottom w:val="nil"/>
              <w:right w:val="nil"/>
            </w:tcBorders>
            <w:shd w:val="clear" w:color="auto" w:fill="auto"/>
            <w:noWrap/>
            <w:vAlign w:val="bottom"/>
            <w:hideMark/>
          </w:tcPr>
          <w:p w14:paraId="5957B927" w14:textId="77777777" w:rsidR="00404EDD" w:rsidRPr="008E1800" w:rsidRDefault="00FB0839" w:rsidP="00FB0839">
            <w:pPr>
              <w:jc w:val="right"/>
            </w:pPr>
            <w:r>
              <w:t>54,039</w:t>
            </w:r>
          </w:p>
        </w:tc>
        <w:tc>
          <w:tcPr>
            <w:tcW w:w="4460" w:type="dxa"/>
            <w:vMerge/>
            <w:tcBorders>
              <w:top w:val="nil"/>
              <w:left w:val="nil"/>
              <w:bottom w:val="nil"/>
              <w:right w:val="nil"/>
            </w:tcBorders>
            <w:vAlign w:val="center"/>
            <w:hideMark/>
          </w:tcPr>
          <w:p w14:paraId="1566EECD" w14:textId="77777777" w:rsidR="00404EDD" w:rsidRPr="008E1800" w:rsidRDefault="00404EDD" w:rsidP="00BE489A">
            <w:pPr>
              <w:rPr>
                <w:rFonts w:ascii="Arial" w:hAnsi="Arial" w:cs="Arial"/>
                <w:sz w:val="20"/>
                <w:szCs w:val="20"/>
              </w:rPr>
            </w:pPr>
          </w:p>
        </w:tc>
      </w:tr>
      <w:tr w:rsidR="00404EDD" w:rsidRPr="008E1800" w14:paraId="1C4F6877" w14:textId="77777777" w:rsidTr="00BE489A">
        <w:trPr>
          <w:trHeight w:val="300"/>
        </w:trPr>
        <w:tc>
          <w:tcPr>
            <w:tcW w:w="1940" w:type="dxa"/>
            <w:tcBorders>
              <w:top w:val="nil"/>
              <w:left w:val="nil"/>
              <w:bottom w:val="nil"/>
              <w:right w:val="nil"/>
            </w:tcBorders>
            <w:shd w:val="clear" w:color="000000" w:fill="D9D9D9"/>
            <w:noWrap/>
            <w:vAlign w:val="bottom"/>
            <w:hideMark/>
          </w:tcPr>
          <w:p w14:paraId="4D456C13" w14:textId="77777777" w:rsidR="00404EDD" w:rsidRPr="008E1800" w:rsidRDefault="00404EDD" w:rsidP="00BE489A">
            <w:pPr>
              <w:rPr>
                <w:rFonts w:ascii="Arial" w:hAnsi="Arial" w:cs="Arial"/>
                <w:sz w:val="20"/>
                <w:szCs w:val="20"/>
              </w:rPr>
            </w:pPr>
            <w:r w:rsidRPr="008E1800">
              <w:rPr>
                <w:rFonts w:ascii="Arial" w:hAnsi="Arial" w:cs="Arial"/>
                <w:sz w:val="20"/>
                <w:szCs w:val="20"/>
              </w:rPr>
              <w:t> </w:t>
            </w:r>
          </w:p>
        </w:tc>
        <w:tc>
          <w:tcPr>
            <w:tcW w:w="1180" w:type="dxa"/>
            <w:tcBorders>
              <w:top w:val="nil"/>
              <w:left w:val="nil"/>
              <w:bottom w:val="nil"/>
              <w:right w:val="nil"/>
            </w:tcBorders>
            <w:shd w:val="clear" w:color="000000" w:fill="D9D9D9"/>
            <w:noWrap/>
            <w:vAlign w:val="bottom"/>
            <w:hideMark/>
          </w:tcPr>
          <w:p w14:paraId="7B4FE3B9" w14:textId="77777777" w:rsidR="00404EDD" w:rsidRPr="008E1800" w:rsidRDefault="00404EDD" w:rsidP="00BE489A">
            <w:pPr>
              <w:jc w:val="center"/>
            </w:pPr>
          </w:p>
        </w:tc>
        <w:tc>
          <w:tcPr>
            <w:tcW w:w="1300" w:type="dxa"/>
            <w:tcBorders>
              <w:top w:val="nil"/>
              <w:left w:val="nil"/>
              <w:bottom w:val="nil"/>
              <w:right w:val="nil"/>
            </w:tcBorders>
            <w:shd w:val="clear" w:color="000000" w:fill="D9D9D9"/>
            <w:noWrap/>
            <w:vAlign w:val="bottom"/>
            <w:hideMark/>
          </w:tcPr>
          <w:p w14:paraId="42E033B5" w14:textId="77777777" w:rsidR="00404EDD" w:rsidRPr="008E1800" w:rsidRDefault="00404EDD" w:rsidP="00BE489A">
            <w:pPr>
              <w:jc w:val="center"/>
              <w:rPr>
                <w:rFonts w:ascii="Arial" w:hAnsi="Arial" w:cs="Arial"/>
                <w:sz w:val="20"/>
                <w:szCs w:val="20"/>
              </w:rPr>
            </w:pPr>
          </w:p>
        </w:tc>
        <w:tc>
          <w:tcPr>
            <w:tcW w:w="1180" w:type="dxa"/>
            <w:tcBorders>
              <w:top w:val="nil"/>
              <w:left w:val="nil"/>
              <w:bottom w:val="nil"/>
              <w:right w:val="nil"/>
            </w:tcBorders>
            <w:shd w:val="clear" w:color="000000" w:fill="D9D9D9"/>
            <w:noWrap/>
            <w:vAlign w:val="bottom"/>
            <w:hideMark/>
          </w:tcPr>
          <w:p w14:paraId="2E2C7834" w14:textId="77777777" w:rsidR="00404EDD" w:rsidRPr="008E1800" w:rsidRDefault="00404EDD" w:rsidP="00BE489A">
            <w:pPr>
              <w:jc w:val="center"/>
            </w:pPr>
          </w:p>
        </w:tc>
        <w:tc>
          <w:tcPr>
            <w:tcW w:w="4460" w:type="dxa"/>
            <w:tcBorders>
              <w:top w:val="nil"/>
              <w:left w:val="nil"/>
              <w:bottom w:val="nil"/>
              <w:right w:val="nil"/>
            </w:tcBorders>
            <w:shd w:val="clear" w:color="000000" w:fill="D9D9D9"/>
            <w:vAlign w:val="center"/>
            <w:hideMark/>
          </w:tcPr>
          <w:p w14:paraId="7B0C275F" w14:textId="77777777" w:rsidR="00404EDD" w:rsidRPr="008E1800" w:rsidRDefault="00404EDD" w:rsidP="00BE489A">
            <w:r w:rsidRPr="008E1800">
              <w:t> </w:t>
            </w:r>
          </w:p>
        </w:tc>
      </w:tr>
      <w:tr w:rsidR="00404EDD" w:rsidRPr="008E1800" w14:paraId="2F68079C" w14:textId="77777777" w:rsidTr="00FB0839">
        <w:trPr>
          <w:trHeight w:val="300"/>
        </w:trPr>
        <w:tc>
          <w:tcPr>
            <w:tcW w:w="1940" w:type="dxa"/>
            <w:tcBorders>
              <w:top w:val="nil"/>
              <w:left w:val="nil"/>
              <w:bottom w:val="nil"/>
              <w:right w:val="nil"/>
            </w:tcBorders>
            <w:shd w:val="clear" w:color="auto" w:fill="auto"/>
            <w:noWrap/>
            <w:vAlign w:val="bottom"/>
            <w:hideMark/>
          </w:tcPr>
          <w:p w14:paraId="2D6767EF" w14:textId="77777777" w:rsidR="00404EDD" w:rsidRPr="008E1800" w:rsidRDefault="00404EDD" w:rsidP="00BE489A">
            <w:pPr>
              <w:rPr>
                <w:rFonts w:ascii="Arial" w:hAnsi="Arial" w:cs="Arial"/>
                <w:sz w:val="20"/>
                <w:szCs w:val="20"/>
              </w:rPr>
            </w:pPr>
            <w:r w:rsidRPr="008E1800">
              <w:rPr>
                <w:rFonts w:ascii="Arial" w:hAnsi="Arial" w:cs="Arial"/>
                <w:sz w:val="20"/>
                <w:szCs w:val="20"/>
              </w:rPr>
              <w:t>Travel</w:t>
            </w:r>
          </w:p>
        </w:tc>
        <w:tc>
          <w:tcPr>
            <w:tcW w:w="1180" w:type="dxa"/>
            <w:tcBorders>
              <w:top w:val="nil"/>
              <w:left w:val="nil"/>
              <w:bottom w:val="nil"/>
              <w:right w:val="nil"/>
            </w:tcBorders>
            <w:shd w:val="clear" w:color="auto" w:fill="auto"/>
            <w:noWrap/>
            <w:vAlign w:val="bottom"/>
            <w:hideMark/>
          </w:tcPr>
          <w:p w14:paraId="730B1955" w14:textId="77777777" w:rsidR="00404EDD" w:rsidRPr="008E1800" w:rsidRDefault="00404EDD" w:rsidP="00BE489A">
            <w:pPr>
              <w:jc w:val="center"/>
            </w:pPr>
          </w:p>
        </w:tc>
        <w:tc>
          <w:tcPr>
            <w:tcW w:w="1300" w:type="dxa"/>
            <w:tcBorders>
              <w:top w:val="nil"/>
              <w:left w:val="nil"/>
              <w:bottom w:val="nil"/>
              <w:right w:val="nil"/>
            </w:tcBorders>
            <w:shd w:val="clear" w:color="auto" w:fill="auto"/>
            <w:noWrap/>
            <w:vAlign w:val="bottom"/>
            <w:hideMark/>
          </w:tcPr>
          <w:p w14:paraId="0BD7C619" w14:textId="77777777" w:rsidR="00404EDD" w:rsidRPr="008E1800" w:rsidRDefault="00404EDD" w:rsidP="00BE489A">
            <w:pPr>
              <w:jc w:val="center"/>
            </w:pPr>
          </w:p>
        </w:tc>
        <w:tc>
          <w:tcPr>
            <w:tcW w:w="1180" w:type="dxa"/>
            <w:tcBorders>
              <w:top w:val="nil"/>
              <w:left w:val="nil"/>
              <w:bottom w:val="nil"/>
              <w:right w:val="nil"/>
            </w:tcBorders>
            <w:shd w:val="clear" w:color="auto" w:fill="auto"/>
            <w:noWrap/>
            <w:vAlign w:val="bottom"/>
            <w:hideMark/>
          </w:tcPr>
          <w:p w14:paraId="6FD75611" w14:textId="77777777" w:rsidR="00404EDD" w:rsidRPr="008E1800" w:rsidRDefault="00FB0839" w:rsidP="00FB0839">
            <w:pPr>
              <w:jc w:val="right"/>
            </w:pPr>
            <w:r>
              <w:t>5,668</w:t>
            </w:r>
          </w:p>
        </w:tc>
        <w:tc>
          <w:tcPr>
            <w:tcW w:w="4460" w:type="dxa"/>
            <w:tcBorders>
              <w:top w:val="nil"/>
              <w:left w:val="nil"/>
              <w:bottom w:val="nil"/>
              <w:right w:val="nil"/>
            </w:tcBorders>
            <w:shd w:val="clear" w:color="auto" w:fill="auto"/>
            <w:noWrap/>
            <w:vAlign w:val="bottom"/>
            <w:hideMark/>
          </w:tcPr>
          <w:p w14:paraId="330DB1BA" w14:textId="77777777" w:rsidR="00404EDD" w:rsidRPr="008E1800" w:rsidRDefault="00404EDD" w:rsidP="00BE489A"/>
        </w:tc>
      </w:tr>
      <w:tr w:rsidR="00404EDD" w:rsidRPr="008E1800" w14:paraId="040CDAEC" w14:textId="77777777" w:rsidTr="00FB0839">
        <w:trPr>
          <w:trHeight w:val="300"/>
        </w:trPr>
        <w:tc>
          <w:tcPr>
            <w:tcW w:w="1940" w:type="dxa"/>
            <w:tcBorders>
              <w:top w:val="nil"/>
              <w:left w:val="nil"/>
              <w:bottom w:val="nil"/>
              <w:right w:val="nil"/>
            </w:tcBorders>
            <w:shd w:val="clear" w:color="auto" w:fill="auto"/>
            <w:noWrap/>
            <w:vAlign w:val="bottom"/>
            <w:hideMark/>
          </w:tcPr>
          <w:p w14:paraId="44F8B9BF" w14:textId="77777777" w:rsidR="00404EDD" w:rsidRPr="008E1800" w:rsidRDefault="00404EDD" w:rsidP="00BE489A">
            <w:pPr>
              <w:rPr>
                <w:rFonts w:ascii="Arial" w:hAnsi="Arial" w:cs="Arial"/>
                <w:sz w:val="20"/>
                <w:szCs w:val="20"/>
              </w:rPr>
            </w:pPr>
            <w:r w:rsidRPr="008E1800">
              <w:rPr>
                <w:rFonts w:ascii="Arial" w:hAnsi="Arial" w:cs="Arial"/>
                <w:sz w:val="20"/>
                <w:szCs w:val="20"/>
              </w:rPr>
              <w:t>Equipment</w:t>
            </w:r>
          </w:p>
        </w:tc>
        <w:tc>
          <w:tcPr>
            <w:tcW w:w="1180" w:type="dxa"/>
            <w:tcBorders>
              <w:top w:val="nil"/>
              <w:left w:val="nil"/>
              <w:bottom w:val="nil"/>
              <w:right w:val="nil"/>
            </w:tcBorders>
            <w:shd w:val="clear" w:color="auto" w:fill="auto"/>
            <w:noWrap/>
            <w:vAlign w:val="bottom"/>
            <w:hideMark/>
          </w:tcPr>
          <w:p w14:paraId="14FAB892" w14:textId="77777777" w:rsidR="00404EDD" w:rsidRPr="008E1800" w:rsidRDefault="00404EDD" w:rsidP="00BE489A">
            <w:pPr>
              <w:jc w:val="center"/>
            </w:pPr>
          </w:p>
        </w:tc>
        <w:tc>
          <w:tcPr>
            <w:tcW w:w="1300" w:type="dxa"/>
            <w:tcBorders>
              <w:top w:val="nil"/>
              <w:left w:val="nil"/>
              <w:bottom w:val="nil"/>
              <w:right w:val="nil"/>
            </w:tcBorders>
            <w:shd w:val="clear" w:color="auto" w:fill="auto"/>
            <w:noWrap/>
            <w:vAlign w:val="bottom"/>
            <w:hideMark/>
          </w:tcPr>
          <w:p w14:paraId="718766E4" w14:textId="77777777" w:rsidR="00404EDD" w:rsidRPr="008E1800" w:rsidRDefault="00404EDD" w:rsidP="00BE489A">
            <w:pPr>
              <w:jc w:val="center"/>
            </w:pPr>
          </w:p>
        </w:tc>
        <w:tc>
          <w:tcPr>
            <w:tcW w:w="1180" w:type="dxa"/>
            <w:tcBorders>
              <w:top w:val="nil"/>
              <w:left w:val="nil"/>
              <w:bottom w:val="nil"/>
              <w:right w:val="nil"/>
            </w:tcBorders>
            <w:shd w:val="clear" w:color="auto" w:fill="auto"/>
            <w:noWrap/>
            <w:vAlign w:val="bottom"/>
            <w:hideMark/>
          </w:tcPr>
          <w:p w14:paraId="72833F52" w14:textId="77777777" w:rsidR="00404EDD" w:rsidRPr="008E1800" w:rsidRDefault="00FB0839" w:rsidP="00FB0839">
            <w:pPr>
              <w:jc w:val="right"/>
            </w:pPr>
            <w:r>
              <w:t>0</w:t>
            </w:r>
          </w:p>
        </w:tc>
        <w:tc>
          <w:tcPr>
            <w:tcW w:w="4460" w:type="dxa"/>
            <w:tcBorders>
              <w:top w:val="nil"/>
              <w:left w:val="nil"/>
              <w:bottom w:val="nil"/>
              <w:right w:val="nil"/>
            </w:tcBorders>
            <w:shd w:val="clear" w:color="auto" w:fill="auto"/>
            <w:noWrap/>
            <w:vAlign w:val="bottom"/>
            <w:hideMark/>
          </w:tcPr>
          <w:p w14:paraId="30212ECA" w14:textId="77777777" w:rsidR="00404EDD" w:rsidRPr="008E1800" w:rsidRDefault="00404EDD" w:rsidP="00BE489A"/>
        </w:tc>
      </w:tr>
      <w:tr w:rsidR="00404EDD" w:rsidRPr="008E1800" w14:paraId="2CAAF0A5" w14:textId="77777777" w:rsidTr="00FB0839">
        <w:trPr>
          <w:trHeight w:val="300"/>
        </w:trPr>
        <w:tc>
          <w:tcPr>
            <w:tcW w:w="1940" w:type="dxa"/>
            <w:tcBorders>
              <w:top w:val="nil"/>
              <w:left w:val="nil"/>
              <w:bottom w:val="nil"/>
              <w:right w:val="nil"/>
            </w:tcBorders>
            <w:shd w:val="clear" w:color="auto" w:fill="auto"/>
            <w:noWrap/>
            <w:vAlign w:val="bottom"/>
            <w:hideMark/>
          </w:tcPr>
          <w:p w14:paraId="7C37338C" w14:textId="77777777" w:rsidR="00404EDD" w:rsidRPr="008E1800" w:rsidRDefault="00404EDD" w:rsidP="00BE489A">
            <w:pPr>
              <w:rPr>
                <w:rFonts w:ascii="Arial" w:hAnsi="Arial" w:cs="Arial"/>
                <w:sz w:val="20"/>
                <w:szCs w:val="20"/>
              </w:rPr>
            </w:pPr>
            <w:r w:rsidRPr="008E1800">
              <w:rPr>
                <w:rFonts w:ascii="Arial" w:hAnsi="Arial" w:cs="Arial"/>
                <w:sz w:val="20"/>
                <w:szCs w:val="20"/>
              </w:rPr>
              <w:t>Other</w:t>
            </w:r>
          </w:p>
        </w:tc>
        <w:tc>
          <w:tcPr>
            <w:tcW w:w="1180" w:type="dxa"/>
            <w:tcBorders>
              <w:top w:val="nil"/>
              <w:left w:val="nil"/>
              <w:bottom w:val="nil"/>
              <w:right w:val="nil"/>
            </w:tcBorders>
            <w:shd w:val="clear" w:color="auto" w:fill="auto"/>
            <w:noWrap/>
            <w:vAlign w:val="bottom"/>
            <w:hideMark/>
          </w:tcPr>
          <w:p w14:paraId="6CC17B51" w14:textId="77777777" w:rsidR="00404EDD" w:rsidRPr="008E1800" w:rsidRDefault="00404EDD" w:rsidP="00BE489A">
            <w:pPr>
              <w:jc w:val="center"/>
            </w:pPr>
          </w:p>
        </w:tc>
        <w:tc>
          <w:tcPr>
            <w:tcW w:w="1300" w:type="dxa"/>
            <w:tcBorders>
              <w:top w:val="nil"/>
              <w:left w:val="nil"/>
              <w:bottom w:val="nil"/>
              <w:right w:val="nil"/>
            </w:tcBorders>
            <w:shd w:val="clear" w:color="auto" w:fill="auto"/>
            <w:noWrap/>
            <w:vAlign w:val="bottom"/>
            <w:hideMark/>
          </w:tcPr>
          <w:p w14:paraId="55A4BD33" w14:textId="77777777" w:rsidR="00404EDD" w:rsidRPr="008E1800" w:rsidRDefault="00404EDD" w:rsidP="00BE489A">
            <w:pPr>
              <w:jc w:val="center"/>
            </w:pPr>
          </w:p>
        </w:tc>
        <w:tc>
          <w:tcPr>
            <w:tcW w:w="1180" w:type="dxa"/>
            <w:tcBorders>
              <w:top w:val="nil"/>
              <w:left w:val="nil"/>
              <w:bottom w:val="nil"/>
              <w:right w:val="nil"/>
            </w:tcBorders>
            <w:shd w:val="clear" w:color="auto" w:fill="auto"/>
            <w:noWrap/>
            <w:vAlign w:val="bottom"/>
            <w:hideMark/>
          </w:tcPr>
          <w:p w14:paraId="2BFB2139" w14:textId="77777777" w:rsidR="00404EDD" w:rsidRPr="008E1800" w:rsidRDefault="00FB0839" w:rsidP="00FB0839">
            <w:pPr>
              <w:jc w:val="right"/>
            </w:pPr>
            <w:r>
              <w:t>9,432</w:t>
            </w:r>
          </w:p>
        </w:tc>
        <w:tc>
          <w:tcPr>
            <w:tcW w:w="4460" w:type="dxa"/>
            <w:tcBorders>
              <w:top w:val="nil"/>
              <w:left w:val="nil"/>
              <w:bottom w:val="nil"/>
              <w:right w:val="nil"/>
            </w:tcBorders>
            <w:shd w:val="clear" w:color="auto" w:fill="auto"/>
            <w:noWrap/>
            <w:vAlign w:val="bottom"/>
            <w:hideMark/>
          </w:tcPr>
          <w:p w14:paraId="5C365D6C" w14:textId="77777777" w:rsidR="00404EDD" w:rsidRPr="008E1800" w:rsidRDefault="00404EDD" w:rsidP="00BE489A">
            <w:r w:rsidRPr="008E1800">
              <w:t>science support</w:t>
            </w:r>
            <w:r w:rsidR="00FB0839">
              <w:t xml:space="preserve"> (GIS and student help)</w:t>
            </w:r>
          </w:p>
        </w:tc>
      </w:tr>
      <w:tr w:rsidR="00404EDD" w:rsidRPr="008E1800" w14:paraId="44251B11" w14:textId="77777777" w:rsidTr="00FB0839">
        <w:trPr>
          <w:trHeight w:val="300"/>
        </w:trPr>
        <w:tc>
          <w:tcPr>
            <w:tcW w:w="1940" w:type="dxa"/>
            <w:tcBorders>
              <w:top w:val="nil"/>
              <w:left w:val="nil"/>
              <w:bottom w:val="single" w:sz="4" w:space="0" w:color="auto"/>
              <w:right w:val="nil"/>
            </w:tcBorders>
            <w:shd w:val="clear" w:color="auto" w:fill="auto"/>
            <w:noWrap/>
            <w:vAlign w:val="bottom"/>
            <w:hideMark/>
          </w:tcPr>
          <w:p w14:paraId="34DEBFCF" w14:textId="77777777" w:rsidR="00404EDD" w:rsidRPr="008E1800" w:rsidRDefault="00404EDD" w:rsidP="00BE489A">
            <w:pPr>
              <w:rPr>
                <w:rFonts w:ascii="Arial" w:hAnsi="Arial" w:cs="Arial"/>
                <w:b/>
                <w:bCs/>
                <w:sz w:val="20"/>
                <w:szCs w:val="20"/>
              </w:rPr>
            </w:pPr>
            <w:r w:rsidRPr="008E1800">
              <w:rPr>
                <w:rFonts w:ascii="Arial" w:hAnsi="Arial" w:cs="Arial"/>
                <w:b/>
                <w:bCs/>
                <w:sz w:val="20"/>
                <w:szCs w:val="20"/>
              </w:rPr>
              <w:t>Total:</w:t>
            </w:r>
          </w:p>
        </w:tc>
        <w:tc>
          <w:tcPr>
            <w:tcW w:w="1180" w:type="dxa"/>
            <w:tcBorders>
              <w:top w:val="nil"/>
              <w:left w:val="nil"/>
              <w:bottom w:val="single" w:sz="4" w:space="0" w:color="auto"/>
              <w:right w:val="nil"/>
            </w:tcBorders>
            <w:shd w:val="clear" w:color="auto" w:fill="auto"/>
            <w:noWrap/>
            <w:vAlign w:val="bottom"/>
            <w:hideMark/>
          </w:tcPr>
          <w:p w14:paraId="6071482E" w14:textId="77777777" w:rsidR="00404EDD" w:rsidRPr="008E1800" w:rsidRDefault="00404EDD" w:rsidP="00BE489A">
            <w:pPr>
              <w:jc w:val="center"/>
              <w:rPr>
                <w:b/>
                <w:bCs/>
              </w:rPr>
            </w:pPr>
          </w:p>
        </w:tc>
        <w:tc>
          <w:tcPr>
            <w:tcW w:w="1300" w:type="dxa"/>
            <w:tcBorders>
              <w:top w:val="nil"/>
              <w:left w:val="nil"/>
              <w:bottom w:val="single" w:sz="4" w:space="0" w:color="auto"/>
              <w:right w:val="nil"/>
            </w:tcBorders>
            <w:shd w:val="clear" w:color="auto" w:fill="auto"/>
            <w:noWrap/>
            <w:vAlign w:val="bottom"/>
            <w:hideMark/>
          </w:tcPr>
          <w:p w14:paraId="74EB00B2" w14:textId="77777777" w:rsidR="00404EDD" w:rsidRPr="008E1800" w:rsidRDefault="00404EDD" w:rsidP="00BE489A">
            <w:pPr>
              <w:jc w:val="center"/>
              <w:rPr>
                <w:b/>
                <w:bCs/>
              </w:rPr>
            </w:pPr>
          </w:p>
        </w:tc>
        <w:tc>
          <w:tcPr>
            <w:tcW w:w="1180" w:type="dxa"/>
            <w:tcBorders>
              <w:top w:val="nil"/>
              <w:left w:val="nil"/>
              <w:bottom w:val="single" w:sz="4" w:space="0" w:color="auto"/>
              <w:right w:val="nil"/>
            </w:tcBorders>
            <w:shd w:val="clear" w:color="auto" w:fill="auto"/>
            <w:noWrap/>
            <w:vAlign w:val="bottom"/>
            <w:hideMark/>
          </w:tcPr>
          <w:p w14:paraId="7686B3C2" w14:textId="77777777" w:rsidR="00404EDD" w:rsidRPr="008E1800" w:rsidRDefault="00FB0839" w:rsidP="00FB0839">
            <w:pPr>
              <w:jc w:val="right"/>
              <w:rPr>
                <w:b/>
                <w:bCs/>
              </w:rPr>
            </w:pPr>
            <w:r>
              <w:rPr>
                <w:b/>
                <w:bCs/>
              </w:rPr>
              <w:t>123,636</w:t>
            </w:r>
          </w:p>
        </w:tc>
        <w:tc>
          <w:tcPr>
            <w:tcW w:w="4460" w:type="dxa"/>
            <w:tcBorders>
              <w:top w:val="nil"/>
              <w:left w:val="nil"/>
              <w:bottom w:val="single" w:sz="4" w:space="0" w:color="auto"/>
              <w:right w:val="nil"/>
            </w:tcBorders>
            <w:shd w:val="clear" w:color="auto" w:fill="auto"/>
            <w:noWrap/>
            <w:vAlign w:val="bottom"/>
            <w:hideMark/>
          </w:tcPr>
          <w:p w14:paraId="28AB0680" w14:textId="77777777" w:rsidR="00404EDD" w:rsidRPr="008E1800" w:rsidRDefault="00404EDD" w:rsidP="00BE489A">
            <w:r w:rsidRPr="008E1800">
              <w:t> </w:t>
            </w:r>
          </w:p>
        </w:tc>
      </w:tr>
    </w:tbl>
    <w:p w14:paraId="5E8C285A" w14:textId="77777777" w:rsidR="00404EDD" w:rsidRPr="00404EDD" w:rsidRDefault="00404EDD" w:rsidP="00404EDD">
      <w:pPr>
        <w:autoSpaceDE w:val="0"/>
        <w:autoSpaceDN w:val="0"/>
        <w:adjustRightInd w:val="0"/>
        <w:rPr>
          <w:b/>
        </w:rPr>
      </w:pPr>
    </w:p>
    <w:p w14:paraId="41F4E1FB" w14:textId="77777777" w:rsidR="000C5403" w:rsidRDefault="000630AE" w:rsidP="00630893">
      <w:pPr>
        <w:pStyle w:val="NormalWeb"/>
        <w:spacing w:after="0" w:afterAutospacing="0"/>
        <w:rPr>
          <w:rStyle w:val="Strong"/>
        </w:rPr>
      </w:pPr>
      <w:r>
        <w:rPr>
          <w:rStyle w:val="Strong"/>
        </w:rPr>
        <w:t xml:space="preserve"> </w:t>
      </w:r>
      <w:r w:rsidR="000C5403">
        <w:rPr>
          <w:rStyle w:val="Strong"/>
        </w:rPr>
        <w:t>(3) NOTEWORTH</w:t>
      </w:r>
      <w:r w:rsidR="00F3700B">
        <w:rPr>
          <w:rStyle w:val="Strong"/>
        </w:rPr>
        <w:t xml:space="preserve">Y COLLABORATIONS, MEETINGS, </w:t>
      </w:r>
      <w:r w:rsidR="000C5403">
        <w:rPr>
          <w:rStyle w:val="Strong"/>
        </w:rPr>
        <w:t>TECHNICAL TRANSFER ACTIVITIES</w:t>
      </w:r>
      <w:r w:rsidR="00F3700B">
        <w:rPr>
          <w:rStyle w:val="Strong"/>
        </w:rPr>
        <w:t>, SPIN-OFF PROJECT DEVELOPMENTS</w:t>
      </w:r>
      <w:r w:rsidR="00630893">
        <w:rPr>
          <w:rStyle w:val="Strong"/>
        </w:rPr>
        <w:t>, AND ACKNOWLEDGEMENTS</w:t>
      </w:r>
    </w:p>
    <w:p w14:paraId="6A8E397D" w14:textId="77777777" w:rsidR="00356AAE" w:rsidRDefault="00356AAE" w:rsidP="00630893">
      <w:pPr>
        <w:pStyle w:val="NormalWeb"/>
        <w:spacing w:after="0" w:afterAutospacing="0"/>
        <w:rPr>
          <w:rStyle w:val="Strong"/>
        </w:rPr>
      </w:pPr>
    </w:p>
    <w:p w14:paraId="6D407269" w14:textId="77777777" w:rsidR="00630893" w:rsidRDefault="00630893" w:rsidP="00630893">
      <w:pPr>
        <w:pStyle w:val="NormalWeb"/>
        <w:spacing w:before="0" w:beforeAutospacing="0"/>
        <w:rPr>
          <w:color w:val="000000"/>
        </w:rPr>
      </w:pPr>
      <w:r>
        <w:rPr>
          <w:color w:val="000000"/>
        </w:rPr>
        <w:t xml:space="preserve">Some of the major questions posed to WAUSP and some of the most difficult to document are ‘How is this research being used? Who is using this research? Does this work influence management or policy?’ This section of the </w:t>
      </w:r>
      <w:r w:rsidR="00302713">
        <w:rPr>
          <w:color w:val="000000"/>
        </w:rPr>
        <w:t xml:space="preserve">EOY </w:t>
      </w:r>
      <w:r>
        <w:rPr>
          <w:color w:val="000000"/>
        </w:rPr>
        <w:t>report asks for each project to provide information that can help answer th</w:t>
      </w:r>
      <w:r w:rsidR="00302713">
        <w:rPr>
          <w:color w:val="000000"/>
        </w:rPr>
        <w:t>e</w:t>
      </w:r>
      <w:r>
        <w:rPr>
          <w:color w:val="000000"/>
        </w:rPr>
        <w:t>se questions.</w:t>
      </w:r>
    </w:p>
    <w:p w14:paraId="5C72059A" w14:textId="77777777" w:rsidR="000C5403" w:rsidRPr="00630893" w:rsidRDefault="00A70BEF" w:rsidP="00630893">
      <w:pPr>
        <w:pStyle w:val="NormalWeb"/>
        <w:spacing w:before="0" w:beforeAutospacing="0"/>
        <w:rPr>
          <w:color w:val="000000"/>
        </w:rPr>
      </w:pPr>
      <w:r w:rsidRPr="00A70BEF">
        <w:rPr>
          <w:color w:val="000000"/>
        </w:rPr>
        <w:t>Document significant cooperator/collaborator meetings</w:t>
      </w:r>
      <w:r w:rsidR="00302713">
        <w:rPr>
          <w:color w:val="000000"/>
        </w:rPr>
        <w:t>;</w:t>
      </w:r>
      <w:r w:rsidRPr="00A70BEF">
        <w:rPr>
          <w:color w:val="000000"/>
        </w:rPr>
        <w:t xml:space="preserve"> special sessions at technical meetings </w:t>
      </w:r>
      <w:r w:rsidR="00630893">
        <w:rPr>
          <w:color w:val="000000"/>
        </w:rPr>
        <w:t>or workshops</w:t>
      </w:r>
      <w:r w:rsidR="00302713">
        <w:rPr>
          <w:color w:val="000000"/>
        </w:rPr>
        <w:t xml:space="preserve">; </w:t>
      </w:r>
      <w:r w:rsidR="00630893">
        <w:rPr>
          <w:color w:val="000000"/>
        </w:rPr>
        <w:t>field activities that test,</w:t>
      </w:r>
      <w:r w:rsidRPr="00A70BEF">
        <w:rPr>
          <w:color w:val="000000"/>
        </w:rPr>
        <w:t xml:space="preserve"> demonstrate</w:t>
      </w:r>
      <w:r w:rsidR="00630893">
        <w:rPr>
          <w:color w:val="000000"/>
        </w:rPr>
        <w:t>, or implement new</w:t>
      </w:r>
      <w:r w:rsidRPr="00A70BEF">
        <w:rPr>
          <w:color w:val="000000"/>
        </w:rPr>
        <w:t xml:space="preserve"> methods</w:t>
      </w:r>
      <w:r w:rsidR="00302713">
        <w:rPr>
          <w:color w:val="000000"/>
        </w:rPr>
        <w:t xml:space="preserve">; </w:t>
      </w:r>
      <w:r w:rsidRPr="00A70BEF">
        <w:rPr>
          <w:color w:val="000000"/>
        </w:rPr>
        <w:t>training courses or workshops</w:t>
      </w:r>
      <w:r w:rsidR="00302713">
        <w:rPr>
          <w:color w:val="000000"/>
        </w:rPr>
        <w:t>;</w:t>
      </w:r>
      <w:r w:rsidRPr="00A70BEF">
        <w:rPr>
          <w:color w:val="000000"/>
        </w:rPr>
        <w:t xml:space="preserve"> and special project meetings or presentations designed for technology or information transfer.</w:t>
      </w:r>
      <w:r w:rsidR="000C5403">
        <w:t xml:space="preserve"> </w:t>
      </w:r>
      <w:r w:rsidR="00630893">
        <w:t>D</w:t>
      </w:r>
      <w:r w:rsidR="000A4E2F">
        <w:t>escribe</w:t>
      </w:r>
      <w:r w:rsidR="00F3700B">
        <w:t xml:space="preserve"> successful project development </w:t>
      </w:r>
      <w:r w:rsidR="00630893">
        <w:t xml:space="preserve">work </w:t>
      </w:r>
      <w:r w:rsidR="00302713">
        <w:t xml:space="preserve">(spin-offs) </w:t>
      </w:r>
      <w:r w:rsidR="00630893">
        <w:t>based on</w:t>
      </w:r>
      <w:r w:rsidR="00F3700B">
        <w:t xml:space="preserve"> </w:t>
      </w:r>
      <w:r w:rsidR="00630893">
        <w:t>activities and results from your project.</w:t>
      </w:r>
    </w:p>
    <w:p w14:paraId="1D4DCEAC" w14:textId="3ADB4776" w:rsidR="00630893" w:rsidRDefault="00630893" w:rsidP="000C5403">
      <w:pPr>
        <w:pStyle w:val="NormalWeb"/>
      </w:pPr>
      <w:r>
        <w:t xml:space="preserve">Document any formal acknowledgement of your products/results by others (agencies, industry, universities, the public, etc.). This kind of information is used in budget planning documents and discussions. Quotes from letters, email </w:t>
      </w:r>
      <w:r>
        <w:lastRenderedPageBreak/>
        <w:t xml:space="preserve">messages, reports are appropriate, and written permission will be required for emails or letters. Provide published source (reference) for the document with page number where you are acknowledged. </w:t>
      </w:r>
    </w:p>
    <w:p w14:paraId="09514D1E" w14:textId="6DBFC470" w:rsidR="001129F5" w:rsidRPr="00D92402" w:rsidRDefault="001129F5" w:rsidP="000C5403">
      <w:pPr>
        <w:pStyle w:val="NormalWeb"/>
        <w:rPr>
          <w:rFonts w:ascii="Times New Roman" w:hAnsi="Times New Roman" w:cs="Times New Roman"/>
        </w:rPr>
      </w:pPr>
      <w:r w:rsidRPr="00D92402">
        <w:rPr>
          <w:rFonts w:ascii="Times New Roman" w:hAnsi="Times New Roman" w:cs="Times New Roman"/>
          <w:b/>
        </w:rPr>
        <w:t>May 2017, Upper Colorado River Commission:</w:t>
      </w:r>
      <w:r w:rsidRPr="00D92402">
        <w:rPr>
          <w:rFonts w:ascii="Times New Roman" w:hAnsi="Times New Roman" w:cs="Times New Roman"/>
        </w:rPr>
        <w:t xml:space="preserve"> Attempted to get on </w:t>
      </w:r>
      <w:r w:rsidR="00AB7F46" w:rsidRPr="00D92402">
        <w:rPr>
          <w:rFonts w:ascii="Times New Roman" w:hAnsi="Times New Roman" w:cs="Times New Roman"/>
        </w:rPr>
        <w:t>Commission</w:t>
      </w:r>
      <w:r w:rsidRPr="00D92402">
        <w:rPr>
          <w:rFonts w:ascii="Times New Roman" w:hAnsi="Times New Roman" w:cs="Times New Roman"/>
        </w:rPr>
        <w:t xml:space="preserve"> agenda </w:t>
      </w:r>
      <w:r w:rsidR="00AB7F46" w:rsidRPr="00D92402">
        <w:rPr>
          <w:rFonts w:ascii="Times New Roman" w:hAnsi="Times New Roman" w:cs="Times New Roman"/>
        </w:rPr>
        <w:t xml:space="preserve">for their June meeting but was unsuccessful.  Planning on presenting at a later meeting. </w:t>
      </w:r>
    </w:p>
    <w:p w14:paraId="61B9B075" w14:textId="45D78BDE" w:rsidR="00D45E75" w:rsidRPr="00D92402" w:rsidRDefault="00D45E75" w:rsidP="000C5403">
      <w:pPr>
        <w:pStyle w:val="NormalWeb"/>
        <w:rPr>
          <w:rFonts w:ascii="Times New Roman" w:hAnsi="Times New Roman" w:cs="Times New Roman"/>
        </w:rPr>
      </w:pPr>
      <w:r w:rsidRPr="00D92402">
        <w:rPr>
          <w:rFonts w:ascii="Times New Roman" w:hAnsi="Times New Roman" w:cs="Times New Roman"/>
          <w:b/>
        </w:rPr>
        <w:t>March 2017, Utah Department of Environmental Quality:</w:t>
      </w:r>
      <w:r w:rsidRPr="00D92402">
        <w:rPr>
          <w:rFonts w:ascii="Times New Roman" w:hAnsi="Times New Roman" w:cs="Times New Roman"/>
        </w:rPr>
        <w:t xml:space="preserve"> Briefed Utah DEQ on Pilot study and how the results could be used in ongoing investigations of the Gold King Mine release. </w:t>
      </w:r>
    </w:p>
    <w:p w14:paraId="38DEA0C2" w14:textId="5FC21544" w:rsidR="001129F5" w:rsidRPr="00D92402" w:rsidRDefault="001129F5" w:rsidP="001129F5">
      <w:pPr>
        <w:pStyle w:val="NormalWeb"/>
        <w:rPr>
          <w:rFonts w:ascii="Times New Roman" w:hAnsi="Times New Roman" w:cs="Times New Roman"/>
        </w:rPr>
      </w:pPr>
      <w:r w:rsidRPr="00D92402">
        <w:rPr>
          <w:rFonts w:ascii="Times New Roman" w:hAnsi="Times New Roman" w:cs="Times New Roman"/>
          <w:b/>
        </w:rPr>
        <w:t>June 2017</w:t>
      </w:r>
      <w:r w:rsidR="00D92402" w:rsidRPr="00D92402">
        <w:rPr>
          <w:rFonts w:ascii="Times New Roman" w:hAnsi="Times New Roman" w:cs="Times New Roman"/>
          <w:b/>
        </w:rPr>
        <w:t xml:space="preserve">, </w:t>
      </w:r>
      <w:r w:rsidRPr="00D92402">
        <w:rPr>
          <w:rFonts w:ascii="Times New Roman" w:hAnsi="Times New Roman" w:cs="Times New Roman"/>
          <w:b/>
        </w:rPr>
        <w:t>Colorado River Salinity Control Forum:</w:t>
      </w:r>
      <w:r w:rsidRPr="00D92402">
        <w:rPr>
          <w:rFonts w:ascii="Times New Roman" w:hAnsi="Times New Roman" w:cs="Times New Roman"/>
        </w:rPr>
        <w:t xml:space="preserve"> Briefed Forum on Pilot Study and discussed how model could be incorporated into proposal to investigate effects of landscape change on salinity loading assessing long-term changes in salinity loads in streamflow and baseflow. </w:t>
      </w:r>
    </w:p>
    <w:p w14:paraId="79FC6B1A" w14:textId="2BBAF843" w:rsidR="00D45E75" w:rsidRDefault="00D45E75" w:rsidP="000C5403">
      <w:pPr>
        <w:pStyle w:val="NormalWeb"/>
      </w:pPr>
      <w:r w:rsidRPr="00D92402">
        <w:rPr>
          <w:rFonts w:ascii="Times New Roman" w:hAnsi="Times New Roman" w:cs="Times New Roman"/>
          <w:b/>
        </w:rPr>
        <w:t>June 2017, Utah Natural Resource Coordinating Council (Council composed of all the heads of State and Federal resource agencies):</w:t>
      </w:r>
      <w:r w:rsidRPr="00D92402">
        <w:rPr>
          <w:rFonts w:ascii="Times New Roman" w:hAnsi="Times New Roman" w:cs="Times New Roman"/>
        </w:rPr>
        <w:t xml:space="preserve"> Briefed Council on Pilot Study objectives and approach.  State Engineer was interested in future results and how they might be used in managing native American water rights settlements in the future.</w:t>
      </w:r>
    </w:p>
    <w:p w14:paraId="756C03D1" w14:textId="77777777" w:rsidR="00D45E75" w:rsidRPr="00630893" w:rsidRDefault="00D45E75" w:rsidP="000C5403">
      <w:pPr>
        <w:pStyle w:val="NormalWeb"/>
      </w:pPr>
    </w:p>
    <w:p w14:paraId="4CFE5B46" w14:textId="77777777" w:rsidR="00630893" w:rsidRDefault="000D6242" w:rsidP="00630893">
      <w:pPr>
        <w:pStyle w:val="NormalWeb"/>
        <w:spacing w:after="0" w:afterAutospacing="0"/>
        <w:rPr>
          <w:rStyle w:val="Strong"/>
        </w:rPr>
      </w:pPr>
      <w:r>
        <w:rPr>
          <w:rStyle w:val="Strong"/>
        </w:rPr>
        <w:t xml:space="preserve">(4) </w:t>
      </w:r>
      <w:r w:rsidRPr="000D6242">
        <w:rPr>
          <w:b/>
        </w:rPr>
        <w:t>Report Products, Bibliographic Update, Data Releases, and Groundwater-Model Archives</w:t>
      </w:r>
    </w:p>
    <w:p w14:paraId="55006E83" w14:textId="77777777" w:rsidR="00E11955" w:rsidRDefault="00E11955" w:rsidP="00630893">
      <w:pPr>
        <w:pStyle w:val="NormalWeb"/>
        <w:spacing w:before="0" w:beforeAutospacing="0"/>
      </w:pPr>
    </w:p>
    <w:p w14:paraId="0C9C6884" w14:textId="77777777" w:rsidR="00E11955" w:rsidRPr="00C772C7" w:rsidRDefault="00E11955" w:rsidP="00E11955">
      <w:pPr>
        <w:pStyle w:val="NormalWeb"/>
        <w:spacing w:before="0" w:beforeAutospacing="0"/>
        <w:rPr>
          <w:rStyle w:val="Strong"/>
          <w:b w:val="0"/>
        </w:rPr>
      </w:pPr>
      <w:r>
        <w:rPr>
          <w:rFonts w:ascii="Times New Roman" w:hAnsi="Times New Roman" w:cs="Times New Roman"/>
          <w:bCs/>
        </w:rPr>
        <w:t>Products to be planned at the end of pilot study phase</w:t>
      </w:r>
    </w:p>
    <w:p w14:paraId="67624A05" w14:textId="77777777" w:rsidR="002937F4" w:rsidRDefault="002937F4" w:rsidP="00AA4C60">
      <w:pPr>
        <w:pStyle w:val="NormalWeb"/>
        <w:rPr>
          <w:rFonts w:ascii="Times New Roman" w:hAnsi="Times New Roman" w:cs="Times New Roman"/>
          <w:b/>
          <w:bCs/>
          <w:sz w:val="28"/>
          <w:szCs w:val="28"/>
        </w:rPr>
      </w:pPr>
      <w:r w:rsidRPr="002937F4">
        <w:rPr>
          <w:rFonts w:ascii="Times New Roman" w:hAnsi="Times New Roman" w:cs="Times New Roman"/>
          <w:b/>
          <w:bCs/>
          <w:sz w:val="28"/>
          <w:szCs w:val="28"/>
        </w:rPr>
        <w:t>Colorado Plateaus Water Availability Pilot Study</w:t>
      </w:r>
      <w:r>
        <w:rPr>
          <w:rFonts w:ascii="Times New Roman" w:hAnsi="Times New Roman" w:cs="Times New Roman"/>
          <w:b/>
          <w:bCs/>
          <w:sz w:val="28"/>
          <w:szCs w:val="28"/>
        </w:rPr>
        <w:t xml:space="preserve"> Project Team Directory</w:t>
      </w:r>
    </w:p>
    <w:p w14:paraId="40BE9941" w14:textId="77777777" w:rsidR="00411E80" w:rsidRPr="0076021D" w:rsidRDefault="00411E80" w:rsidP="0076021D">
      <w:pPr>
        <w:pStyle w:val="NormalWeb"/>
        <w:rPr>
          <w:rFonts w:ascii="Times New Roman" w:hAnsi="Times New Roman" w:cs="Times New Roman"/>
          <w:bCs/>
        </w:rPr>
      </w:pPr>
      <w:r w:rsidRPr="0076021D">
        <w:rPr>
          <w:rFonts w:ascii="Times New Roman" w:hAnsi="Times New Roman" w:cs="Times New Roman"/>
          <w:bCs/>
        </w:rPr>
        <w:t>Melissa Masbruch, hydrologist, UTWSC, Salt Lake City, UT, 801-908-5068, mmasbruch@usgs.gov—co-project chief; construction and calibration of MODFLOW portion of GSFLOW model; analysis of GSFLOW model</w:t>
      </w:r>
    </w:p>
    <w:p w14:paraId="6B0A1A9E" w14:textId="77777777" w:rsidR="00411E80" w:rsidRPr="00356AAE" w:rsidRDefault="00411E80" w:rsidP="0076021D">
      <w:pPr>
        <w:pStyle w:val="NormalWeb"/>
        <w:rPr>
          <w:rFonts w:ascii="Times New Roman" w:hAnsi="Times New Roman" w:cs="Times New Roman"/>
          <w:bCs/>
        </w:rPr>
      </w:pPr>
      <w:r w:rsidRPr="0076021D">
        <w:rPr>
          <w:rFonts w:ascii="Times New Roman" w:hAnsi="Times New Roman" w:cs="Times New Roman"/>
          <w:bCs/>
        </w:rPr>
        <w:t>Jesse Dickinson, hydrologic, AZWSC, Tucson, AZ, 520-670-6671 x306, jdickins@usgs.gov—co-project chief; analysis and calibration of PRMS portion of GSFLOW model; analysis of GSFLOW model</w:t>
      </w:r>
    </w:p>
    <w:p w14:paraId="7DAC0E97" w14:textId="77777777" w:rsidR="00E93739" w:rsidRPr="00593B05" w:rsidRDefault="00630893" w:rsidP="00AA4C60">
      <w:pPr>
        <w:pStyle w:val="NormalWeb"/>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r w:rsidR="00BE53F9" w:rsidRPr="00BE53F9">
        <w:t xml:space="preserve">Please </w:t>
      </w:r>
      <w:r w:rsidR="00BE53F9">
        <w:t>provide link to, or fi</w:t>
      </w:r>
      <w:r w:rsidR="00EC4B81">
        <w:t xml:space="preserve">le of, your best digital photos, animations </w:t>
      </w:r>
      <w:r w:rsidR="00BE53F9">
        <w:t xml:space="preserve">or graphics </w:t>
      </w:r>
      <w:r w:rsidR="00EC4B81">
        <w:t xml:space="preserve">of project activities </w:t>
      </w:r>
      <w:r w:rsidR="002003A2">
        <w:t>that clearly illustrate how you are going about achieving project goals or the significance of results. A brief caption is needed for each submitted image</w:t>
      </w:r>
      <w:r w:rsidR="00EC4B81">
        <w:t xml:space="preserve">. A description </w:t>
      </w:r>
      <w:r w:rsidR="00385D20">
        <w:t xml:space="preserve">of what </w:t>
      </w:r>
      <w:r w:rsidR="00385D20">
        <w:lastRenderedPageBreak/>
        <w:t xml:space="preserve">is being seen </w:t>
      </w:r>
      <w:r w:rsidR="00EC4B81">
        <w:t>should accompany the an</w:t>
      </w:r>
      <w:r w:rsidR="00385D20">
        <w:t>imation</w:t>
      </w:r>
      <w:r w:rsidR="002003A2">
        <w:t>.</w:t>
      </w:r>
      <w:r w:rsidR="000A4E2F">
        <w:t xml:space="preserve">  These may be used in future WAUSP web pages or planning documents.</w:t>
      </w:r>
    </w:p>
    <w:sectPr w:rsidR="00E93739" w:rsidRPr="00593B05">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11D2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FC7D5" w14:textId="77777777" w:rsidR="007A01F1" w:rsidRDefault="007A01F1">
      <w:r>
        <w:separator/>
      </w:r>
    </w:p>
  </w:endnote>
  <w:endnote w:type="continuationSeparator" w:id="0">
    <w:p w14:paraId="48CC5C00" w14:textId="77777777" w:rsidR="007A01F1" w:rsidRDefault="007A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30200" w14:textId="77777777"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073EB" w14:textId="77777777"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34A5" w14:textId="7FC8CCF9"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653">
      <w:rPr>
        <w:rStyle w:val="PageNumber"/>
        <w:noProof/>
      </w:rPr>
      <w:t>7</w:t>
    </w:r>
    <w:r>
      <w:rPr>
        <w:rStyle w:val="PageNumber"/>
      </w:rPr>
      <w:fldChar w:fldCharType="end"/>
    </w:r>
  </w:p>
  <w:p w14:paraId="7C6F8796" w14:textId="77777777"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79BCD" w14:textId="77777777" w:rsidR="007A01F1" w:rsidRDefault="007A01F1">
      <w:r>
        <w:separator/>
      </w:r>
    </w:p>
  </w:footnote>
  <w:footnote w:type="continuationSeparator" w:id="0">
    <w:p w14:paraId="59356FDF" w14:textId="77777777" w:rsidR="007A01F1" w:rsidRDefault="007A0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2009D"/>
    <w:multiLevelType w:val="hybridMultilevel"/>
    <w:tmpl w:val="76FC42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648EA"/>
    <w:multiLevelType w:val="hybridMultilevel"/>
    <w:tmpl w:val="113A4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1E4AAD"/>
    <w:multiLevelType w:val="hybridMultilevel"/>
    <w:tmpl w:val="EE7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6318E5"/>
    <w:multiLevelType w:val="hybridMultilevel"/>
    <w:tmpl w:val="71CE6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8441EE"/>
    <w:multiLevelType w:val="hybridMultilevel"/>
    <w:tmpl w:val="50E6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DC09D7"/>
    <w:multiLevelType w:val="hybridMultilevel"/>
    <w:tmpl w:val="379E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A02E1"/>
    <w:multiLevelType w:val="hybridMultilevel"/>
    <w:tmpl w:val="34B8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FD09D7"/>
    <w:multiLevelType w:val="hybridMultilevel"/>
    <w:tmpl w:val="941A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E754A9"/>
    <w:multiLevelType w:val="hybridMultilevel"/>
    <w:tmpl w:val="A03ED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D5E7A35"/>
    <w:multiLevelType w:val="hybridMultilevel"/>
    <w:tmpl w:val="2E4A4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C10B8A"/>
    <w:multiLevelType w:val="hybridMultilevel"/>
    <w:tmpl w:val="C07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7"/>
  </w:num>
  <w:num w:numId="4">
    <w:abstractNumId w:val="26"/>
  </w:num>
  <w:num w:numId="5">
    <w:abstractNumId w:val="8"/>
  </w:num>
  <w:num w:numId="6">
    <w:abstractNumId w:val="16"/>
  </w:num>
  <w:num w:numId="7">
    <w:abstractNumId w:val="9"/>
  </w:num>
  <w:num w:numId="8">
    <w:abstractNumId w:val="6"/>
  </w:num>
  <w:num w:numId="9">
    <w:abstractNumId w:val="0"/>
  </w:num>
  <w:num w:numId="10">
    <w:abstractNumId w:val="27"/>
  </w:num>
  <w:num w:numId="11">
    <w:abstractNumId w:val="24"/>
  </w:num>
  <w:num w:numId="12">
    <w:abstractNumId w:val="29"/>
  </w:num>
  <w:num w:numId="13">
    <w:abstractNumId w:val="4"/>
  </w:num>
  <w:num w:numId="14">
    <w:abstractNumId w:val="20"/>
  </w:num>
  <w:num w:numId="15">
    <w:abstractNumId w:val="15"/>
  </w:num>
  <w:num w:numId="16">
    <w:abstractNumId w:val="5"/>
  </w:num>
  <w:num w:numId="17">
    <w:abstractNumId w:val="30"/>
  </w:num>
  <w:num w:numId="18">
    <w:abstractNumId w:val="1"/>
  </w:num>
  <w:num w:numId="19">
    <w:abstractNumId w:val="2"/>
  </w:num>
  <w:num w:numId="20">
    <w:abstractNumId w:val="21"/>
  </w:num>
  <w:num w:numId="21">
    <w:abstractNumId w:val="14"/>
  </w:num>
  <w:num w:numId="22">
    <w:abstractNumId w:val="18"/>
  </w:num>
  <w:num w:numId="23">
    <w:abstractNumId w:val="13"/>
  </w:num>
  <w:num w:numId="24">
    <w:abstractNumId w:val="3"/>
  </w:num>
  <w:num w:numId="25">
    <w:abstractNumId w:val="23"/>
  </w:num>
  <w:num w:numId="26">
    <w:abstractNumId w:val="10"/>
  </w:num>
  <w:num w:numId="27">
    <w:abstractNumId w:val="17"/>
  </w:num>
  <w:num w:numId="28">
    <w:abstractNumId w:val="22"/>
  </w:num>
  <w:num w:numId="29">
    <w:abstractNumId w:val="25"/>
  </w:num>
  <w:num w:numId="30">
    <w:abstractNumId w:val="12"/>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ckinson, Jesse E.">
    <w15:presenceInfo w15:providerId="AD" w15:userId="S-1-5-21-3697291689-1161744426-439199626-37750"/>
  </w15:person>
  <w15:person w15:author="Susong, David D">
    <w15:presenceInfo w15:providerId="AD" w15:userId="S-1-5-21-3697291689-1161744426-439199626-40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6DC1"/>
    <w:rsid w:val="00027918"/>
    <w:rsid w:val="00044E96"/>
    <w:rsid w:val="0005649D"/>
    <w:rsid w:val="000630AE"/>
    <w:rsid w:val="00066FFC"/>
    <w:rsid w:val="000803A0"/>
    <w:rsid w:val="0008768A"/>
    <w:rsid w:val="000922C6"/>
    <w:rsid w:val="000A4E2F"/>
    <w:rsid w:val="000C0FFB"/>
    <w:rsid w:val="000C5403"/>
    <w:rsid w:val="000D270D"/>
    <w:rsid w:val="000D6242"/>
    <w:rsid w:val="001129F5"/>
    <w:rsid w:val="00125193"/>
    <w:rsid w:val="001621AB"/>
    <w:rsid w:val="0016303D"/>
    <w:rsid w:val="00166511"/>
    <w:rsid w:val="00175D9D"/>
    <w:rsid w:val="00180779"/>
    <w:rsid w:val="001A3B17"/>
    <w:rsid w:val="001C70F8"/>
    <w:rsid w:val="001E1A1C"/>
    <w:rsid w:val="001E50BE"/>
    <w:rsid w:val="001F05D3"/>
    <w:rsid w:val="002003A2"/>
    <w:rsid w:val="00207293"/>
    <w:rsid w:val="00223543"/>
    <w:rsid w:val="002549C8"/>
    <w:rsid w:val="0027276F"/>
    <w:rsid w:val="002937F4"/>
    <w:rsid w:val="00296629"/>
    <w:rsid w:val="00302713"/>
    <w:rsid w:val="00305CF2"/>
    <w:rsid w:val="00314D05"/>
    <w:rsid w:val="00337CEB"/>
    <w:rsid w:val="00354973"/>
    <w:rsid w:val="00356AAE"/>
    <w:rsid w:val="00382CD6"/>
    <w:rsid w:val="00385D20"/>
    <w:rsid w:val="003A0083"/>
    <w:rsid w:val="003B0380"/>
    <w:rsid w:val="003C04E0"/>
    <w:rsid w:val="003C794E"/>
    <w:rsid w:val="003E4929"/>
    <w:rsid w:val="003F1792"/>
    <w:rsid w:val="00404EDD"/>
    <w:rsid w:val="00411E80"/>
    <w:rsid w:val="00417943"/>
    <w:rsid w:val="00421745"/>
    <w:rsid w:val="0042699E"/>
    <w:rsid w:val="0043646F"/>
    <w:rsid w:val="004431FF"/>
    <w:rsid w:val="00452C78"/>
    <w:rsid w:val="0045318C"/>
    <w:rsid w:val="004771AF"/>
    <w:rsid w:val="00485ACA"/>
    <w:rsid w:val="004D7A46"/>
    <w:rsid w:val="00507801"/>
    <w:rsid w:val="00525EC9"/>
    <w:rsid w:val="00536721"/>
    <w:rsid w:val="005522D5"/>
    <w:rsid w:val="005561F9"/>
    <w:rsid w:val="00556A24"/>
    <w:rsid w:val="005674B5"/>
    <w:rsid w:val="00593B05"/>
    <w:rsid w:val="005B70D6"/>
    <w:rsid w:val="005D52EB"/>
    <w:rsid w:val="005D5BB5"/>
    <w:rsid w:val="005E7A23"/>
    <w:rsid w:val="00605001"/>
    <w:rsid w:val="00630893"/>
    <w:rsid w:val="00631AC7"/>
    <w:rsid w:val="00653D3F"/>
    <w:rsid w:val="00654D5D"/>
    <w:rsid w:val="00655B21"/>
    <w:rsid w:val="0067074A"/>
    <w:rsid w:val="00670D4C"/>
    <w:rsid w:val="00694DF8"/>
    <w:rsid w:val="006D122D"/>
    <w:rsid w:val="006D18EA"/>
    <w:rsid w:val="006D4AE6"/>
    <w:rsid w:val="006E5857"/>
    <w:rsid w:val="0071329A"/>
    <w:rsid w:val="00715E1E"/>
    <w:rsid w:val="0074672C"/>
    <w:rsid w:val="0075024F"/>
    <w:rsid w:val="0076021D"/>
    <w:rsid w:val="00762724"/>
    <w:rsid w:val="0076554F"/>
    <w:rsid w:val="00767313"/>
    <w:rsid w:val="00783266"/>
    <w:rsid w:val="00791D01"/>
    <w:rsid w:val="007A01F1"/>
    <w:rsid w:val="007B17A1"/>
    <w:rsid w:val="007D2653"/>
    <w:rsid w:val="007D36DE"/>
    <w:rsid w:val="00810075"/>
    <w:rsid w:val="00823948"/>
    <w:rsid w:val="00830EB9"/>
    <w:rsid w:val="00842135"/>
    <w:rsid w:val="00847FF0"/>
    <w:rsid w:val="0085269A"/>
    <w:rsid w:val="008543CC"/>
    <w:rsid w:val="008765A9"/>
    <w:rsid w:val="008773A6"/>
    <w:rsid w:val="008901B7"/>
    <w:rsid w:val="0089573E"/>
    <w:rsid w:val="008A0764"/>
    <w:rsid w:val="008A1790"/>
    <w:rsid w:val="008A5765"/>
    <w:rsid w:val="008B0AC7"/>
    <w:rsid w:val="008C2A25"/>
    <w:rsid w:val="008C4BE2"/>
    <w:rsid w:val="008D2E90"/>
    <w:rsid w:val="008E3B78"/>
    <w:rsid w:val="009010CD"/>
    <w:rsid w:val="009078B8"/>
    <w:rsid w:val="009115CB"/>
    <w:rsid w:val="00914B63"/>
    <w:rsid w:val="0092611D"/>
    <w:rsid w:val="0093341E"/>
    <w:rsid w:val="00934947"/>
    <w:rsid w:val="0094032E"/>
    <w:rsid w:val="00947E84"/>
    <w:rsid w:val="009816CD"/>
    <w:rsid w:val="00983E7C"/>
    <w:rsid w:val="0098443D"/>
    <w:rsid w:val="009B308F"/>
    <w:rsid w:val="009E7A1A"/>
    <w:rsid w:val="00A05874"/>
    <w:rsid w:val="00A26ED4"/>
    <w:rsid w:val="00A65447"/>
    <w:rsid w:val="00A70327"/>
    <w:rsid w:val="00A70BEF"/>
    <w:rsid w:val="00A75F8E"/>
    <w:rsid w:val="00A76B27"/>
    <w:rsid w:val="00A82A20"/>
    <w:rsid w:val="00AA4C60"/>
    <w:rsid w:val="00AB7F46"/>
    <w:rsid w:val="00AD5DD4"/>
    <w:rsid w:val="00AF5A3B"/>
    <w:rsid w:val="00AF64F3"/>
    <w:rsid w:val="00B07C54"/>
    <w:rsid w:val="00B16C95"/>
    <w:rsid w:val="00B31EE5"/>
    <w:rsid w:val="00B414FF"/>
    <w:rsid w:val="00B5000D"/>
    <w:rsid w:val="00B70DB3"/>
    <w:rsid w:val="00BC1514"/>
    <w:rsid w:val="00BE53F9"/>
    <w:rsid w:val="00C163F4"/>
    <w:rsid w:val="00C2618C"/>
    <w:rsid w:val="00C460A5"/>
    <w:rsid w:val="00C47D87"/>
    <w:rsid w:val="00C53575"/>
    <w:rsid w:val="00C772C7"/>
    <w:rsid w:val="00C80CBC"/>
    <w:rsid w:val="00C86688"/>
    <w:rsid w:val="00CB0726"/>
    <w:rsid w:val="00CB5593"/>
    <w:rsid w:val="00CB7D81"/>
    <w:rsid w:val="00CC4B66"/>
    <w:rsid w:val="00CD44C1"/>
    <w:rsid w:val="00CE7E5A"/>
    <w:rsid w:val="00CF073E"/>
    <w:rsid w:val="00D14A23"/>
    <w:rsid w:val="00D16401"/>
    <w:rsid w:val="00D20926"/>
    <w:rsid w:val="00D3724A"/>
    <w:rsid w:val="00D40138"/>
    <w:rsid w:val="00D4598C"/>
    <w:rsid w:val="00D45E75"/>
    <w:rsid w:val="00D47004"/>
    <w:rsid w:val="00D54F3C"/>
    <w:rsid w:val="00D62916"/>
    <w:rsid w:val="00D760EA"/>
    <w:rsid w:val="00D92402"/>
    <w:rsid w:val="00D93AE2"/>
    <w:rsid w:val="00DA4D04"/>
    <w:rsid w:val="00DC4D27"/>
    <w:rsid w:val="00DC5282"/>
    <w:rsid w:val="00DC6A51"/>
    <w:rsid w:val="00DE24E5"/>
    <w:rsid w:val="00E019F0"/>
    <w:rsid w:val="00E0235E"/>
    <w:rsid w:val="00E11955"/>
    <w:rsid w:val="00E11C32"/>
    <w:rsid w:val="00E24336"/>
    <w:rsid w:val="00E251E3"/>
    <w:rsid w:val="00E25605"/>
    <w:rsid w:val="00E3079C"/>
    <w:rsid w:val="00E36E4C"/>
    <w:rsid w:val="00E57C12"/>
    <w:rsid w:val="00E64D6D"/>
    <w:rsid w:val="00E70052"/>
    <w:rsid w:val="00E80378"/>
    <w:rsid w:val="00E876A9"/>
    <w:rsid w:val="00E93739"/>
    <w:rsid w:val="00EB416B"/>
    <w:rsid w:val="00EC4B81"/>
    <w:rsid w:val="00ED0E80"/>
    <w:rsid w:val="00EE5131"/>
    <w:rsid w:val="00EE7DAC"/>
    <w:rsid w:val="00EF4838"/>
    <w:rsid w:val="00F34E4B"/>
    <w:rsid w:val="00F3700B"/>
    <w:rsid w:val="00F376A7"/>
    <w:rsid w:val="00F42EF9"/>
    <w:rsid w:val="00F4780A"/>
    <w:rsid w:val="00F71B22"/>
    <w:rsid w:val="00F936B3"/>
    <w:rsid w:val="00FB0489"/>
    <w:rsid w:val="00FB083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8901B7"/>
    <w:pPr>
      <w:ind w:left="720"/>
      <w:contextualSpacing/>
    </w:pPr>
  </w:style>
  <w:style w:type="paragraph" w:styleId="Revision">
    <w:name w:val="Revision"/>
    <w:hidden/>
    <w:uiPriority w:val="99"/>
    <w:semiHidden/>
    <w:rsid w:val="00356A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8901B7"/>
    <w:pPr>
      <w:ind w:left="720"/>
      <w:contextualSpacing/>
    </w:pPr>
  </w:style>
  <w:style w:type="paragraph" w:styleId="Revision">
    <w:name w:val="Revision"/>
    <w:hidden/>
    <w:uiPriority w:val="99"/>
    <w:semiHidden/>
    <w:rsid w:val="00356A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CB23-7128-4B59-A6C2-11D21949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13129</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Melissa D. Masbruch</cp:lastModifiedBy>
  <cp:revision>2</cp:revision>
  <cp:lastPrinted>2010-08-13T18:27:00Z</cp:lastPrinted>
  <dcterms:created xsi:type="dcterms:W3CDTF">2017-08-25T18:59:00Z</dcterms:created>
  <dcterms:modified xsi:type="dcterms:W3CDTF">2017-08-25T18:59:00Z</dcterms:modified>
</cp:coreProperties>
</file>