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4383A" w:rsidRDefault="00A4383A"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4383A" w:rsidRDefault="00A4383A"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E79B8" w:rsidP="007C7739">
      <w:pPr>
        <w:autoSpaceDE w:val="0"/>
        <w:autoSpaceDN w:val="0"/>
        <w:adjustRightInd w:val="0"/>
        <w:jc w:val="center"/>
        <w:rPr>
          <w:b/>
          <w:bCs/>
          <w:color w:val="000000"/>
        </w:rPr>
      </w:pPr>
      <w:r>
        <w:rPr>
          <w:b/>
          <w:bCs/>
          <w:color w:val="000000"/>
          <w:szCs w:val="24"/>
        </w:rPr>
        <w:t>Decem</w:t>
      </w:r>
      <w:r w:rsidR="0033175B">
        <w:rPr>
          <w:b/>
          <w:bCs/>
          <w:color w:val="000000"/>
          <w:szCs w:val="24"/>
        </w:rPr>
        <w:t xml:space="preserve">ber </w:t>
      </w:r>
      <w:r w:rsidR="00100A4B">
        <w:rPr>
          <w:b/>
          <w:bCs/>
          <w:color w:val="000000"/>
          <w:szCs w:val="24"/>
        </w:rPr>
        <w:t>12</w:t>
      </w:r>
      <w:r w:rsidR="00494B19">
        <w:rPr>
          <w:b/>
          <w:bCs/>
          <w:color w:val="000000"/>
          <w:szCs w:val="24"/>
        </w:rPr>
        <w:t xml:space="preserve"> – </w:t>
      </w:r>
      <w:r w:rsidR="00935179">
        <w:rPr>
          <w:b/>
          <w:bCs/>
          <w:color w:val="000000"/>
          <w:szCs w:val="24"/>
        </w:rPr>
        <w:t>Decem</w:t>
      </w:r>
      <w:r w:rsidR="00E667FD">
        <w:rPr>
          <w:b/>
          <w:bCs/>
          <w:color w:val="000000"/>
          <w:szCs w:val="24"/>
        </w:rPr>
        <w:t xml:space="preserve">ber </w:t>
      </w:r>
      <w:r w:rsidR="00100A4B">
        <w:rPr>
          <w:b/>
          <w:bCs/>
          <w:color w:val="000000"/>
          <w:szCs w:val="24"/>
        </w:rPr>
        <w:t>16</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100A4B" w:rsidRPr="00100A4B" w:rsidRDefault="00100A4B" w:rsidP="00100A4B">
      <w:pPr>
        <w:autoSpaceDE w:val="0"/>
        <w:autoSpaceDN w:val="0"/>
        <w:adjustRightInd w:val="0"/>
        <w:rPr>
          <w:b/>
          <w:bCs/>
          <w:color w:val="000000"/>
          <w:szCs w:val="24"/>
        </w:rPr>
      </w:pPr>
      <w:r w:rsidRPr="00100A4B">
        <w:rPr>
          <w:b/>
          <w:bCs/>
          <w:color w:val="000000"/>
          <w:szCs w:val="24"/>
        </w:rPr>
        <w:t>2011 Holiday Festivities:</w:t>
      </w:r>
    </w:p>
    <w:p w:rsidR="00100A4B" w:rsidRPr="00100A4B" w:rsidRDefault="00100A4B" w:rsidP="00100A4B">
      <w:pPr>
        <w:pStyle w:val="ListParagraph"/>
        <w:numPr>
          <w:ilvl w:val="0"/>
          <w:numId w:val="27"/>
        </w:numPr>
        <w:autoSpaceDE w:val="0"/>
        <w:autoSpaceDN w:val="0"/>
        <w:adjustRightInd w:val="0"/>
        <w:rPr>
          <w:bCs/>
          <w:color w:val="000000"/>
        </w:rPr>
      </w:pPr>
      <w:r w:rsidRPr="00100A4B">
        <w:rPr>
          <w:bCs/>
          <w:color w:val="000000"/>
        </w:rPr>
        <w:t>December 19 we will have a desert/cookie break in the conference room in the afternoon. Please bring your favorite dessert. Extra cookies and leftovers will be gathered and delivered to other offices as a thank you for their support.</w:t>
      </w:r>
    </w:p>
    <w:p w:rsidR="00100A4B" w:rsidRPr="00100A4B" w:rsidRDefault="00100A4B" w:rsidP="00100A4B">
      <w:pPr>
        <w:pStyle w:val="ListParagraph"/>
        <w:numPr>
          <w:ilvl w:val="0"/>
          <w:numId w:val="27"/>
        </w:numPr>
        <w:autoSpaceDE w:val="0"/>
        <w:autoSpaceDN w:val="0"/>
        <w:adjustRightInd w:val="0"/>
        <w:rPr>
          <w:bCs/>
          <w:color w:val="000000"/>
        </w:rPr>
      </w:pPr>
      <w:r w:rsidRPr="00100A4B">
        <w:rPr>
          <w:bCs/>
          <w:color w:val="000000"/>
        </w:rPr>
        <w:t>Alex Ruiz is collecting holiday (or everyday) recipes for a branch holiday cookbook. If you are interested in participating please email her your favorite recipe to share.</w:t>
      </w:r>
    </w:p>
    <w:p w:rsidR="00100A4B" w:rsidRPr="00100A4B" w:rsidRDefault="00100A4B" w:rsidP="00100A4B">
      <w:pPr>
        <w:autoSpaceDE w:val="0"/>
        <w:autoSpaceDN w:val="0"/>
        <w:adjustRightInd w:val="0"/>
        <w:rPr>
          <w:bCs/>
          <w:color w:val="000000"/>
          <w:szCs w:val="24"/>
        </w:rPr>
      </w:pPr>
    </w:p>
    <w:p w:rsidR="00100A4B" w:rsidRPr="00100A4B" w:rsidRDefault="00100A4B" w:rsidP="00100A4B">
      <w:pPr>
        <w:autoSpaceDE w:val="0"/>
        <w:autoSpaceDN w:val="0"/>
        <w:adjustRightInd w:val="0"/>
        <w:rPr>
          <w:bCs/>
          <w:color w:val="000000"/>
          <w:szCs w:val="24"/>
        </w:rPr>
      </w:pPr>
      <w:r w:rsidRPr="00100A4B">
        <w:rPr>
          <w:b/>
          <w:bCs/>
          <w:color w:val="000000"/>
          <w:szCs w:val="24"/>
        </w:rPr>
        <w:t xml:space="preserve">Annual Combined Federal Campaign Extended: </w:t>
      </w:r>
      <w:r w:rsidRPr="00100A4B">
        <w:rPr>
          <w:bCs/>
          <w:color w:val="000000"/>
          <w:szCs w:val="24"/>
        </w:rPr>
        <w:t xml:space="preserve"> The Combined Federal Campaign (CFC) has been extended through </w:t>
      </w:r>
      <w:r w:rsidRPr="00100A4B">
        <w:rPr>
          <w:bCs/>
          <w:color w:val="000000"/>
          <w:szCs w:val="24"/>
          <w:u w:val="single"/>
        </w:rPr>
        <w:t>December 31, 2011</w:t>
      </w:r>
      <w:r w:rsidRPr="00100A4B">
        <w:rPr>
          <w:bCs/>
          <w:color w:val="000000"/>
          <w:szCs w:val="24"/>
        </w:rPr>
        <w:t xml:space="preserve">. Please be aware that this extension does not change the December 15 cut-off for Employee Express. Everyone is encouraged to go directly to Employee Express to make your pledges/contributions by payroll deduction, credit/debit card, or e-check. By using electronic means to contribute, there's less paperwork, less hassle, and it’s more secure. Once you are in Employee Express click on CFC, or another option is to donate through the CFC website at </w:t>
      </w:r>
      <w:hyperlink r:id="rId10" w:history="1">
        <w:r w:rsidRPr="00100A4B">
          <w:rPr>
            <w:rStyle w:val="Hyperlink"/>
            <w:bCs/>
            <w:szCs w:val="24"/>
          </w:rPr>
          <w:t>http://www.cfcnca.org/</w:t>
        </w:r>
      </w:hyperlink>
      <w:r w:rsidRPr="00100A4B">
        <w:rPr>
          <w:bCs/>
          <w:color w:val="000000"/>
          <w:szCs w:val="24"/>
        </w:rPr>
        <w:t xml:space="preserve">. You can also engage with the campaign by going through Facebook, Twitter, </w:t>
      </w:r>
      <w:proofErr w:type="spellStart"/>
      <w:r w:rsidRPr="00100A4B">
        <w:rPr>
          <w:bCs/>
          <w:color w:val="000000"/>
          <w:szCs w:val="24"/>
        </w:rPr>
        <w:t>GovLoop</w:t>
      </w:r>
      <w:proofErr w:type="spellEnd"/>
      <w:r w:rsidRPr="00100A4B">
        <w:rPr>
          <w:bCs/>
          <w:color w:val="000000"/>
          <w:szCs w:val="24"/>
        </w:rPr>
        <w:t>, and other social media platforms.</w:t>
      </w:r>
    </w:p>
    <w:p w:rsidR="00100A4B" w:rsidRPr="00100A4B" w:rsidRDefault="00100A4B" w:rsidP="00100A4B">
      <w:pPr>
        <w:autoSpaceDE w:val="0"/>
        <w:autoSpaceDN w:val="0"/>
        <w:adjustRightInd w:val="0"/>
        <w:rPr>
          <w:bCs/>
          <w:color w:val="000000"/>
          <w:szCs w:val="24"/>
        </w:rPr>
      </w:pPr>
    </w:p>
    <w:p w:rsidR="00100A4B" w:rsidRPr="00100A4B" w:rsidRDefault="00100A4B" w:rsidP="00100A4B">
      <w:pPr>
        <w:autoSpaceDE w:val="0"/>
        <w:autoSpaceDN w:val="0"/>
        <w:adjustRightInd w:val="0"/>
        <w:rPr>
          <w:b/>
          <w:bCs/>
          <w:color w:val="000000"/>
          <w:szCs w:val="24"/>
        </w:rPr>
      </w:pPr>
      <w:r w:rsidRPr="00100A4B">
        <w:rPr>
          <w:b/>
          <w:bCs/>
          <w:color w:val="000000"/>
          <w:szCs w:val="24"/>
        </w:rPr>
        <w:t xml:space="preserve">Barbara </w:t>
      </w:r>
      <w:proofErr w:type="spellStart"/>
      <w:r w:rsidRPr="00100A4B">
        <w:rPr>
          <w:b/>
          <w:bCs/>
          <w:color w:val="000000"/>
          <w:szCs w:val="24"/>
        </w:rPr>
        <w:t>Cardellichio</w:t>
      </w:r>
      <w:proofErr w:type="spellEnd"/>
      <w:r w:rsidRPr="00100A4B">
        <w:rPr>
          <w:b/>
          <w:bCs/>
          <w:color w:val="000000"/>
          <w:szCs w:val="24"/>
        </w:rPr>
        <w:t xml:space="preserve"> - Leave Share</w:t>
      </w:r>
    </w:p>
    <w:p w:rsidR="00E6297F" w:rsidRDefault="00100A4B" w:rsidP="00100A4B">
      <w:pPr>
        <w:autoSpaceDE w:val="0"/>
        <w:autoSpaceDN w:val="0"/>
        <w:adjustRightInd w:val="0"/>
        <w:rPr>
          <w:bCs/>
          <w:color w:val="000000"/>
          <w:szCs w:val="24"/>
        </w:rPr>
      </w:pPr>
      <w:r w:rsidRPr="00100A4B">
        <w:rPr>
          <w:bCs/>
          <w:color w:val="000000"/>
          <w:szCs w:val="24"/>
        </w:rPr>
        <w:t>Our good friend and former Branch colleague could use our support. As many of you may know Barbara’s husband has an advanced form of bone marrow cancer and will need care for the weeks to come. Barbara has been approved for the USGS Leave Share Program and any donations would be greatly appreciated.  If you would like to donate leave to Barbara please complete the OF-630A form (</w:t>
      </w:r>
      <w:hyperlink r:id="rId11" w:history="1">
        <w:r w:rsidRPr="00100A4B">
          <w:rPr>
            <w:rStyle w:val="Hyperlink"/>
            <w:bCs/>
            <w:szCs w:val="24"/>
          </w:rPr>
          <w:t>http://internal.usgs.gov/ops/hro/benefits/famlv/630-a.pdf</w:t>
        </w:r>
      </w:hyperlink>
      <w:r w:rsidRPr="00100A4B">
        <w:rPr>
          <w:bCs/>
          <w:color w:val="000000"/>
          <w:szCs w:val="24"/>
        </w:rPr>
        <w:t>) and fax it to Cedric Simon at 703-648-4113.</w:t>
      </w:r>
    </w:p>
    <w:p w:rsidR="00100A4B" w:rsidRPr="00100A4B" w:rsidRDefault="00100A4B" w:rsidP="00100A4B">
      <w:pPr>
        <w:autoSpaceDE w:val="0"/>
        <w:autoSpaceDN w:val="0"/>
        <w:adjustRightInd w:val="0"/>
        <w:rPr>
          <w:bCs/>
          <w:color w:val="000000"/>
          <w:szCs w:val="24"/>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sidR="00A37410">
        <w:rPr>
          <w:color w:val="000000"/>
        </w:rPr>
        <w:t xml:space="preserve">are now being offered </w:t>
      </w:r>
      <w:r>
        <w:rPr>
          <w:color w:val="000000"/>
        </w:rPr>
        <w:t>for all Federal Employees</w:t>
      </w:r>
      <w:r w:rsidR="00A37410">
        <w:rPr>
          <w:color w:val="000000"/>
        </w:rPr>
        <w:t xml:space="preserve"> (regardless of the first letter of you</w:t>
      </w:r>
      <w:r w:rsidR="0002375E">
        <w:rPr>
          <w:color w:val="000000"/>
        </w:rPr>
        <w:t>r</w:t>
      </w:r>
      <w:r w:rsidR="00A37410">
        <w:rPr>
          <w:color w:val="000000"/>
        </w:rPr>
        <w:t xml:space="preserve"> last name) without an appointment</w:t>
      </w:r>
      <w:r>
        <w:rPr>
          <w:color w:val="000000"/>
        </w:rPr>
        <w:t xml:space="preserve">.  </w:t>
      </w:r>
      <w:r w:rsidR="00A37410">
        <w:rPr>
          <w:color w:val="000000"/>
        </w:rPr>
        <w:t>Stop by the Health Unit on the following days and times to receive your flu shot:</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Mondays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Tuesdays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Wednesdays – 9:00 a.m. to 11:00 a.m.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Thursdays – 1:00 p.m. to 3:00 p.m.</w:t>
      </w:r>
    </w:p>
    <w:p w:rsidR="00A37410" w:rsidRP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 xml:space="preserve">Fridays – 9:00 a.m. to 11:00 a.m. </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lastRenderedPageBreak/>
        <w:t>Mandatory Training</w:t>
      </w:r>
    </w:p>
    <w:p w:rsidR="00EA6991" w:rsidRPr="00D25197" w:rsidRDefault="00EA6991" w:rsidP="00EA6991">
      <w:pPr>
        <w:jc w:val="center"/>
        <w:rPr>
          <w:b/>
          <w:bCs/>
          <w:szCs w:val="16"/>
        </w:rPr>
      </w:pPr>
    </w:p>
    <w:p w:rsidR="005C337C" w:rsidRDefault="00EA6991" w:rsidP="005C337C">
      <w:pPr>
        <w:rPr>
          <w:bCs/>
          <w:color w:val="000000"/>
        </w:rPr>
      </w:pPr>
      <w:r w:rsidRPr="003A1D34">
        <w:rPr>
          <w:b/>
          <w:bCs/>
          <w:color w:val="FF0000"/>
          <w:u w:val="single"/>
        </w:rPr>
        <w:t>2011 Discrimination and Whistleblowing Training Due by December 30, 2011:</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2" w:history="1">
        <w:r w:rsidRPr="00256F38">
          <w:rPr>
            <w:rStyle w:val="Hyperlink"/>
            <w:bCs/>
          </w:rPr>
          <w:t>doilearn@geolearning.com</w:t>
        </w:r>
      </w:hyperlink>
      <w:r>
        <w:rPr>
          <w:bCs/>
          <w:color w:val="000000"/>
        </w:rPr>
        <w:t>.</w:t>
      </w:r>
    </w:p>
    <w:p w:rsidR="00100A4B" w:rsidRDefault="00100A4B" w:rsidP="005C337C">
      <w:pPr>
        <w:rPr>
          <w:bCs/>
          <w:color w:val="000000"/>
        </w:rPr>
      </w:pPr>
    </w:p>
    <w:p w:rsidR="00F97488" w:rsidRDefault="00F97488" w:rsidP="005C337C">
      <w:pPr>
        <w:rPr>
          <w:bCs/>
          <w:color w:val="000000"/>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00A4B" w:rsidRDefault="00100A4B" w:rsidP="00100A4B">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00A4B" w:rsidRDefault="00100A4B" w:rsidP="00100A4B">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00A4B"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3A" w:rsidRDefault="00A4383A">
      <w:r>
        <w:separator/>
      </w:r>
    </w:p>
  </w:endnote>
  <w:endnote w:type="continuationSeparator" w:id="0">
    <w:p w:rsidR="00A4383A" w:rsidRDefault="00A4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3A" w:rsidRDefault="00A4383A">
      <w:r>
        <w:separator/>
      </w:r>
    </w:p>
  </w:footnote>
  <w:footnote w:type="continuationSeparator" w:id="0">
    <w:p w:rsidR="00A4383A" w:rsidRDefault="00A4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B34"/>
    <w:rsid w:val="0004414A"/>
    <w:rsid w:val="00044F03"/>
    <w:rsid w:val="0004637E"/>
    <w:rsid w:val="00046496"/>
    <w:rsid w:val="00050A92"/>
    <w:rsid w:val="0005140F"/>
    <w:rsid w:val="00051AE7"/>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1504"/>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urrell@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ilearn@geolearning.com"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al.usgs.gov/ops/hro/benefits/famlv/630-a.pdf"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www.cfcnca.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54BEE-4579-401F-A298-BF289A9F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2</Pages>
  <Words>931</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6773</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143</cp:revision>
  <cp:lastPrinted>2011-12-02T18:36:00Z</cp:lastPrinted>
  <dcterms:created xsi:type="dcterms:W3CDTF">2011-06-10T12:16:00Z</dcterms:created>
  <dcterms:modified xsi:type="dcterms:W3CDTF">2012-01-13T14:23:00Z</dcterms:modified>
</cp:coreProperties>
</file>